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51" w:rsidRPr="00DB4696" w:rsidRDefault="00EB0951" w:rsidP="00EB0951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:rsidR="00EB0951" w:rsidRPr="00DB4696" w:rsidRDefault="00EB0951" w:rsidP="00EB0951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>
        <w:rPr>
          <w:i/>
          <w:color w:val="0070C0"/>
          <w:sz w:val="28"/>
          <w:szCs w:val="28"/>
          <w:lang w:val="uk-UA"/>
        </w:rPr>
        <w:t>Кримінальне процесуальне право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4BACC6" w:themeColor="accent5"/>
          <w:left w:val="double" w:sz="4" w:space="0" w:color="4BACC6" w:themeColor="accent5"/>
          <w:bottom w:val="double" w:sz="4" w:space="0" w:color="4BACC6" w:themeColor="accent5"/>
          <w:right w:val="double" w:sz="4" w:space="0" w:color="4BACC6" w:themeColor="accent5"/>
          <w:insideH w:val="double" w:sz="4" w:space="0" w:color="4BACC6" w:themeColor="accent5"/>
          <w:insideV w:val="double" w:sz="4" w:space="0" w:color="4BACC6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8"/>
        <w:gridCol w:w="7573"/>
      </w:tblGrid>
      <w:tr w:rsidR="00EB0951" w:rsidRPr="00DB4696" w:rsidTr="00F26A72">
        <w:trPr>
          <w:trHeight w:val="66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1" w:colLast="1"/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EB0951" w:rsidRPr="00DB4696" w:rsidTr="00F26A72">
        <w:trPr>
          <w:trHeight w:val="66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івень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вищої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0951" w:rsidRPr="00DB4696" w:rsidTr="00F26A72">
        <w:trPr>
          <w:trHeight w:val="399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EB0951" w:rsidRPr="00DB4696" w:rsidTr="00F26A72">
        <w:trPr>
          <w:trHeight w:val="775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widowControl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5, 6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EB0951" w:rsidRPr="00DB4696" w:rsidTr="00F26A72">
        <w:trPr>
          <w:trHeight w:val="96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розподіл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ЄКТС (240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:rsidR="00EB0951" w:rsidRPr="00DB4696" w:rsidRDefault="00EB0951" w:rsidP="00DF7008">
            <w:pPr>
              <w:widowControl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:rsidR="00EB0951" w:rsidRPr="00DB4696" w:rsidRDefault="00EB0951" w:rsidP="00DF7008">
            <w:pPr>
              <w:pStyle w:val="a8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Аудиторні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  <w:p w:rsidR="00EB0951" w:rsidRPr="00DB4696" w:rsidRDefault="00EB0951" w:rsidP="00DF7008">
            <w:pPr>
              <w:pStyle w:val="a8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робота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годин.</w:t>
            </w:r>
          </w:p>
        </w:tc>
      </w:tr>
      <w:tr w:rsidR="00EB0951" w:rsidRPr="00DB4696" w:rsidTr="00F26A72">
        <w:trPr>
          <w:trHeight w:val="449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  <w:proofErr w:type="spellEnd"/>
          </w:p>
        </w:tc>
      </w:tr>
      <w:tr w:rsidR="00EB0951" w:rsidRPr="00DB4696" w:rsidTr="00F26A72">
        <w:trPr>
          <w:trHeight w:val="351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викладання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</w:p>
        </w:tc>
      </w:tr>
      <w:tr w:rsidR="00EB0951" w:rsidRPr="00DB4696" w:rsidTr="00F26A72">
        <w:trPr>
          <w:trHeight w:val="457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gram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спеціальності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EB0951" w:rsidRPr="00DB4696" w:rsidTr="00F26A72">
        <w:trPr>
          <w:trHeight w:val="791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Кафедра,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забезпечує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:rsidR="00EB0951" w:rsidRPr="00DB4696" w:rsidRDefault="00EB0951" w:rsidP="00DF7008">
            <w:pPr>
              <w:pStyle w:val="a8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правосуддя</w:t>
            </w:r>
            <w:proofErr w:type="spellEnd"/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0951" w:rsidRPr="009012F0" w:rsidRDefault="00EB0951" w:rsidP="00DF7008">
            <w:pPr>
              <w:pStyle w:val="a8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 w:rsidRPr="00FB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9" w:history="1">
              <w:r w:rsidRPr="009012F0">
                <w:rPr>
                  <w:rStyle w:val="a6"/>
                  <w:rFonts w:ascii="Times New Roman" w:eastAsia="Times New Roman" w:hAnsi="Times New Roman" w:cs="Times New Roman"/>
                  <w:sz w:val="24"/>
                </w:rPr>
                <w:t>sen88@stu.cn.ua</w:t>
              </w:r>
            </w:hyperlink>
          </w:p>
          <w:p w:rsidR="00EB0951" w:rsidRPr="00DB4696" w:rsidRDefault="00EB0951" w:rsidP="00DF7008">
            <w:pPr>
              <w:pStyle w:val="a8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51" w:rsidRPr="00FB2B17" w:rsidTr="00F26A72">
        <w:trPr>
          <w:trHeight w:val="1241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Тематика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Поняття, завдання і система курсу кримінального процесу</w:t>
            </w:r>
          </w:p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bCs/>
                <w:sz w:val="24"/>
                <w:lang w:val="uk-UA"/>
              </w:rPr>
              <w:t xml:space="preserve"> </w:t>
            </w: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Засади кримінального провадження</w:t>
            </w:r>
            <w:r w:rsidRPr="00110821">
              <w:rPr>
                <w:b w:val="0"/>
                <w:sz w:val="24"/>
              </w:rPr>
              <w:t xml:space="preserve"> </w:t>
            </w:r>
          </w:p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Суб’єкти кримінальної процесуальної діяльності</w:t>
            </w:r>
            <w:r w:rsidRPr="00110821">
              <w:rPr>
                <w:b w:val="0"/>
                <w:sz w:val="24"/>
              </w:rPr>
              <w:t xml:space="preserve"> </w:t>
            </w:r>
          </w:p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Доказування і докази у кримінальному процесі</w:t>
            </w:r>
            <w:r w:rsidRPr="00110821">
              <w:rPr>
                <w:b w:val="0"/>
                <w:sz w:val="24"/>
              </w:rPr>
              <w:t xml:space="preserve"> </w:t>
            </w:r>
          </w:p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Заходи забезпечення кримінального провадження</w:t>
            </w:r>
            <w:r w:rsidRPr="00110821">
              <w:rPr>
                <w:b w:val="0"/>
                <w:sz w:val="24"/>
              </w:rPr>
              <w:t xml:space="preserve"> </w:t>
            </w:r>
          </w:p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Запобіжні заходи</w:t>
            </w:r>
            <w:r w:rsidRPr="00110821">
              <w:rPr>
                <w:b w:val="0"/>
                <w:sz w:val="24"/>
              </w:rPr>
              <w:t xml:space="preserve"> </w:t>
            </w:r>
          </w:p>
          <w:p w:rsidR="00EB0951" w:rsidRPr="00EB0951" w:rsidRDefault="00EB0951" w:rsidP="00DF7008">
            <w:pPr>
              <w:pStyle w:val="a"/>
              <w:keepNext w:val="0"/>
              <w:keepLines w:val="0"/>
              <w:numPr>
                <w:ilvl w:val="0"/>
                <w:numId w:val="3"/>
              </w:numPr>
              <w:tabs>
                <w:tab w:val="left" w:pos="558"/>
              </w:tabs>
              <w:spacing w:after="0"/>
              <w:ind w:left="295" w:right="145" w:hanging="15"/>
              <w:jc w:val="both"/>
              <w:rPr>
                <w:rFonts w:eastAsia="Times New Roman" w:cs="Times New Roman"/>
                <w:b w:val="0"/>
                <w:sz w:val="24"/>
                <w:szCs w:val="24"/>
                <w:lang w:val="uk-UA" w:eastAsia="uk-UA"/>
              </w:rPr>
            </w:pPr>
            <w:r w:rsidRPr="00AF7962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Загальні положення досудового розслідування</w:t>
            </w:r>
            <w:r w:rsidRPr="00110821">
              <w:rPr>
                <w:b w:val="0"/>
                <w:sz w:val="24"/>
              </w:rPr>
              <w:t xml:space="preserve"> </w:t>
            </w:r>
          </w:p>
          <w:p w:rsidR="00670200" w:rsidRPr="00EB0951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</w:tabs>
              <w:spacing w:after="0"/>
              <w:ind w:left="295" w:right="145" w:hanging="15"/>
              <w:rPr>
                <w:lang w:eastAsia="uk-UA"/>
              </w:rPr>
            </w:pPr>
            <w:r w:rsidRPr="00EB0951">
              <w:rPr>
                <w:sz w:val="24"/>
                <w:szCs w:val="24"/>
                <w:lang w:eastAsia="uk-UA"/>
              </w:rPr>
              <w:t xml:space="preserve">Слідчі (розшукові) дії 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 xml:space="preserve">Негласні слідчі (розшукові) дії </w:t>
            </w:r>
          </w:p>
          <w:p w:rsidR="00EB0951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</w:tabs>
              <w:spacing w:after="0"/>
              <w:ind w:left="295" w:right="145" w:hanging="15"/>
              <w:rPr>
                <w:lang w:eastAsia="uk-UA"/>
              </w:rPr>
            </w:pPr>
            <w:proofErr w:type="spellStart"/>
            <w:r w:rsidRPr="00670200">
              <w:rPr>
                <w:sz w:val="24"/>
                <w:lang w:val="ru-RU"/>
              </w:rPr>
              <w:t>Повідомлення</w:t>
            </w:r>
            <w:proofErr w:type="spellEnd"/>
            <w:r w:rsidRPr="00670200">
              <w:rPr>
                <w:sz w:val="24"/>
                <w:lang w:val="ru-RU"/>
              </w:rPr>
              <w:t xml:space="preserve"> про    </w:t>
            </w:r>
            <w:proofErr w:type="spellStart"/>
            <w:proofErr w:type="gramStart"/>
            <w:r w:rsidRPr="00670200">
              <w:rPr>
                <w:sz w:val="24"/>
                <w:lang w:val="ru-RU"/>
              </w:rPr>
              <w:t>п</w:t>
            </w:r>
            <w:proofErr w:type="gramEnd"/>
            <w:r w:rsidRPr="00670200">
              <w:rPr>
                <w:sz w:val="24"/>
                <w:lang w:val="ru-RU"/>
              </w:rPr>
              <w:t>ідозру</w:t>
            </w:r>
            <w:proofErr w:type="spellEnd"/>
          </w:p>
          <w:p w:rsidR="00670200" w:rsidRPr="00670200" w:rsidRDefault="00670200" w:rsidP="00DF7008">
            <w:pPr>
              <w:pStyle w:val="a"/>
              <w:numPr>
                <w:ilvl w:val="0"/>
                <w:numId w:val="3"/>
              </w:numPr>
              <w:tabs>
                <w:tab w:val="num" w:pos="-2268"/>
                <w:tab w:val="left" w:pos="338"/>
              </w:tabs>
              <w:spacing w:after="0"/>
              <w:ind w:left="295" w:right="145" w:hanging="15"/>
              <w:jc w:val="both"/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</w:pPr>
            <w:r w:rsidRPr="00670200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Зупинення і закінчення досудового розслідування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  <w:tab w:val="left" w:pos="763"/>
              </w:tabs>
              <w:spacing w:after="0"/>
              <w:ind w:left="295" w:right="145" w:hanging="15"/>
              <w:rPr>
                <w:sz w:val="24"/>
                <w:szCs w:val="24"/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>Підсудність    у    кримінальному     провадженні.    Підготовче    провадження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>Загальні положення судового розгляду</w:t>
            </w:r>
            <w:r w:rsidRPr="00AF7962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 xml:space="preserve">Порядок судового розгляду 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  <w:tab w:val="left" w:pos="521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 xml:space="preserve">Постановлення </w:t>
            </w:r>
            <w:r w:rsidRPr="00670200">
              <w:rPr>
                <w:b/>
                <w:sz w:val="24"/>
                <w:szCs w:val="24"/>
                <w:lang w:val="ru-RU" w:eastAsia="uk-UA"/>
              </w:rPr>
              <w:t xml:space="preserve">та </w:t>
            </w:r>
            <w:proofErr w:type="spellStart"/>
            <w:r w:rsidRPr="00670200">
              <w:rPr>
                <w:sz w:val="24"/>
                <w:szCs w:val="24"/>
                <w:lang w:val="ru-RU" w:eastAsia="uk-UA"/>
              </w:rPr>
              <w:t>проголошення</w:t>
            </w:r>
            <w:proofErr w:type="spellEnd"/>
            <w:r w:rsidRPr="00670200">
              <w:rPr>
                <w:sz w:val="24"/>
                <w:szCs w:val="24"/>
                <w:lang w:val="ru-RU" w:eastAsia="uk-UA"/>
              </w:rPr>
              <w:t xml:space="preserve"> судового   </w:t>
            </w:r>
            <w:proofErr w:type="spellStart"/>
            <w:r w:rsidRPr="00670200">
              <w:rPr>
                <w:sz w:val="24"/>
                <w:szCs w:val="24"/>
                <w:lang w:val="ru-RU" w:eastAsia="uk-UA"/>
              </w:rPr>
              <w:t>рішення</w:t>
            </w:r>
            <w:proofErr w:type="spellEnd"/>
          </w:p>
          <w:p w:rsidR="00EB0951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>Провадження в    суді  апеляційної    інстанції</w:t>
            </w:r>
            <w:r w:rsidRPr="00670200">
              <w:rPr>
                <w:lang w:eastAsia="uk-UA"/>
              </w:rPr>
              <w:t xml:space="preserve"> 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>Провадження в    суді  касаційної   інстанції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>Виконання судових рішень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3"/>
              </w:numPr>
              <w:tabs>
                <w:tab w:val="clear" w:pos="1418"/>
              </w:tabs>
              <w:spacing w:after="0"/>
              <w:ind w:left="295" w:right="145" w:hanging="15"/>
              <w:rPr>
                <w:lang w:eastAsia="uk-UA"/>
              </w:rPr>
            </w:pPr>
            <w:r w:rsidRPr="00670200">
              <w:rPr>
                <w:sz w:val="24"/>
                <w:szCs w:val="24"/>
                <w:lang w:eastAsia="uk-UA"/>
              </w:rPr>
              <w:t xml:space="preserve">Провадження за </w:t>
            </w:r>
            <w:proofErr w:type="spellStart"/>
            <w:r w:rsidRPr="00670200">
              <w:rPr>
                <w:sz w:val="24"/>
                <w:szCs w:val="24"/>
                <w:lang w:eastAsia="uk-UA"/>
              </w:rPr>
              <w:t>нововиявленими</w:t>
            </w:r>
            <w:proofErr w:type="spellEnd"/>
            <w:r w:rsidRPr="00670200">
              <w:rPr>
                <w:sz w:val="24"/>
                <w:szCs w:val="24"/>
                <w:lang w:eastAsia="uk-UA"/>
              </w:rPr>
              <w:t xml:space="preserve"> або виключними обставинами</w:t>
            </w:r>
          </w:p>
          <w:p w:rsidR="00670200" w:rsidRPr="00670200" w:rsidRDefault="00670200" w:rsidP="00DF7008">
            <w:pPr>
              <w:pStyle w:val="a"/>
              <w:numPr>
                <w:ilvl w:val="0"/>
                <w:numId w:val="3"/>
              </w:numPr>
              <w:tabs>
                <w:tab w:val="num" w:pos="-2268"/>
              </w:tabs>
              <w:spacing w:after="0"/>
              <w:ind w:left="295" w:right="145" w:hanging="15"/>
              <w:jc w:val="both"/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</w:pPr>
            <w:r w:rsidRPr="00670200">
              <w:rPr>
                <w:rFonts w:eastAsia="Times New Roman" w:cs="Times New Roman"/>
                <w:b w:val="0"/>
                <w:bCs/>
                <w:sz w:val="24"/>
                <w:szCs w:val="24"/>
                <w:lang w:val="uk-UA" w:eastAsia="uk-UA"/>
              </w:rPr>
              <w:t>Міжнародне співробітництво під час кримінального провадження</w:t>
            </w:r>
          </w:p>
          <w:p w:rsidR="00670200" w:rsidRPr="00670200" w:rsidRDefault="00670200" w:rsidP="00DF7008">
            <w:pPr>
              <w:pStyle w:val="-1"/>
              <w:numPr>
                <w:ilvl w:val="0"/>
                <w:numId w:val="0"/>
              </w:numPr>
              <w:tabs>
                <w:tab w:val="clear" w:pos="1418"/>
              </w:tabs>
              <w:ind w:left="295" w:right="145" w:hanging="15"/>
              <w:rPr>
                <w:lang w:eastAsia="uk-UA"/>
              </w:rPr>
            </w:pPr>
          </w:p>
        </w:tc>
      </w:tr>
      <w:tr w:rsidR="00EB0951" w:rsidRPr="00F76AE0" w:rsidTr="00F26A72">
        <w:trPr>
          <w:trHeight w:val="1346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5DA27738" wp14:editId="3CC48147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ілі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</w:t>
            </w:r>
            <w:proofErr w:type="spellEnd"/>
          </w:p>
        </w:tc>
        <w:tc>
          <w:tcPr>
            <w:tcW w:w="0" w:type="auto"/>
          </w:tcPr>
          <w:p w:rsidR="00670200" w:rsidRDefault="00EB0951" w:rsidP="00DF7008">
            <w:pPr>
              <w:spacing w:after="0" w:line="240" w:lineRule="auto"/>
              <w:ind w:left="295" w:right="145" w:hanging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  <w:r w:rsidRPr="00110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у здобувачів вищої освіти науково-професійного світогляду</w:t>
            </w:r>
            <w:r w:rsidRPr="00110821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</w:t>
            </w:r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галузі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кримінально</w:t>
            </w:r>
            <w:r w:rsidR="00670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</w:t>
            </w:r>
            <w:proofErr w:type="spellEnd"/>
            <w:r w:rsidR="00670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процесуального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права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практичних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навичок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реалізації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норм, а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також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основних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кримінально-процесуальної</w:t>
            </w:r>
            <w:proofErr w:type="spellEnd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доктрини</w:t>
            </w:r>
            <w:proofErr w:type="spellEnd"/>
            <w:r w:rsidR="00670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="00670200" w:rsidRPr="00AD2DD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  <w:t xml:space="preserve"> </w:t>
            </w:r>
          </w:p>
          <w:p w:rsidR="00EB0951" w:rsidRPr="00670200" w:rsidRDefault="00EB0951" w:rsidP="00DF7008">
            <w:pPr>
              <w:pStyle w:val="a8"/>
              <w:spacing w:line="240" w:lineRule="auto"/>
              <w:ind w:left="295" w:right="145" w:hanging="1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B0951" w:rsidRPr="00F34865" w:rsidTr="00F26A72">
        <w:trPr>
          <w:trHeight w:val="926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Компетентності</w:t>
            </w:r>
            <w:proofErr w:type="spellEnd"/>
          </w:p>
        </w:tc>
        <w:tc>
          <w:tcPr>
            <w:tcW w:w="0" w:type="auto"/>
          </w:tcPr>
          <w:p w:rsidR="00670200" w:rsidRPr="00AF7962" w:rsidRDefault="00670200" w:rsidP="00DF7008">
            <w:pPr>
              <w:widowControl w:val="0"/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ЗК 2.</w:t>
            </w:r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Здатність застосовувати знання у практичних ситуаціях.</w:t>
            </w:r>
          </w:p>
          <w:p w:rsidR="00670200" w:rsidRPr="00AF7962" w:rsidRDefault="00670200" w:rsidP="00DF7008">
            <w:pPr>
              <w:widowControl w:val="0"/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СК 7.</w:t>
            </w:r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Здатність застосовувати норми та інститути права, щонайменше з таких галузей, як: конституційне право, адміністративне право, цивільне і цивільне процесуальне </w:t>
            </w:r>
            <w:proofErr w:type="spellStart"/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правао</w:t>
            </w:r>
            <w:proofErr w:type="spellEnd"/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, трудове право, кримінальне і кримінальне процесуальне право.</w:t>
            </w:r>
          </w:p>
          <w:p w:rsidR="00670200" w:rsidRPr="00AF7962" w:rsidRDefault="00670200" w:rsidP="00DF7008">
            <w:pPr>
              <w:widowControl w:val="0"/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СК 11.</w:t>
            </w:r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Здатність визначати належні та прийнятні для юридичного аналізу факти.</w:t>
            </w:r>
          </w:p>
          <w:p w:rsidR="00670200" w:rsidRPr="00AF7962" w:rsidRDefault="00670200" w:rsidP="00DF7008">
            <w:pPr>
              <w:widowControl w:val="0"/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СК 12.</w:t>
            </w:r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Здатність аналізувати правові проблеми та обґрунтовувати правові позиції.</w:t>
            </w:r>
          </w:p>
          <w:p w:rsidR="00670200" w:rsidRDefault="00670200" w:rsidP="00DF7008">
            <w:pPr>
              <w:widowControl w:val="0"/>
              <w:tabs>
                <w:tab w:val="left" w:pos="110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СК 15.</w:t>
            </w:r>
            <w:r w:rsidRPr="00AF79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Здатність до самостійної підготовки проектів актів правозастосування</w:t>
            </w:r>
            <w:r w:rsidRPr="00AF79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.</w:t>
            </w:r>
          </w:p>
          <w:p w:rsidR="00EB0951" w:rsidRPr="00E4543B" w:rsidRDefault="00214C79" w:rsidP="00DF7008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СК </w:t>
            </w:r>
            <w:r w:rsidR="00B714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16. </w:t>
            </w:r>
            <w:r w:rsidR="00B71485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en-US"/>
              </w:rPr>
              <w:t>Здатність до логічного, критичного і системного аналізу документів, розуміння їх правового характеру і значення.</w:t>
            </w:r>
          </w:p>
        </w:tc>
      </w:tr>
      <w:tr w:rsidR="00EB0951" w:rsidRPr="00F76AE0" w:rsidTr="00F26A72">
        <w:trPr>
          <w:trHeight w:val="1535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2F3C4E3" wp14:editId="1CD512C2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</w:t>
            </w:r>
            <w:proofErr w:type="spellEnd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</w:tcPr>
          <w:p w:rsidR="00EB0951" w:rsidRDefault="00EB0951" w:rsidP="00DF7008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670200" w:rsidRDefault="00E4543B" w:rsidP="00DF7008">
            <w:pPr>
              <w:spacing w:after="0" w:line="240" w:lineRule="auto"/>
              <w:ind w:left="295" w:right="145" w:hanging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</w:t>
            </w:r>
            <w:r w:rsidR="00670200" w:rsidRPr="00AF7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r w:rsidR="00670200"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Давати  короткий  правовий  висновок  щодо  окремих  фактичних </w:t>
            </w:r>
            <w:r w:rsidR="00670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670200"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обставин з достатньою обґрунтованістю</w:t>
            </w:r>
            <w:r w:rsidR="006702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670200" w:rsidRDefault="00670200" w:rsidP="00DF7008">
            <w:pPr>
              <w:spacing w:after="0" w:line="240" w:lineRule="auto"/>
              <w:ind w:left="295" w:right="145" w:hanging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6.</w:t>
            </w: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Оцінювати  недоліки  і  переваги  певних  правових  аргументів, аналізуючи відому проблему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670200" w:rsidRPr="00AF7962" w:rsidRDefault="00670200" w:rsidP="00DF7008">
            <w:pPr>
              <w:spacing w:after="0" w:line="240" w:lineRule="auto"/>
              <w:ind w:left="295" w:right="145" w:hanging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13.</w:t>
            </w: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Знати та розуміти особливості реалізації та застосування норм </w:t>
            </w:r>
          </w:p>
          <w:p w:rsidR="00670200" w:rsidRPr="00455320" w:rsidRDefault="00670200" w:rsidP="00DF7008">
            <w:pPr>
              <w:spacing w:after="0" w:line="240" w:lineRule="auto"/>
              <w:ind w:left="295" w:right="145" w:hanging="1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матеріального і процесуального права</w:t>
            </w:r>
            <w:r w:rsidR="00DF70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.</w:t>
            </w:r>
          </w:p>
          <w:p w:rsidR="00670200" w:rsidRPr="00522A43" w:rsidRDefault="00670200" w:rsidP="00DF7008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</w:pPr>
            <w:r w:rsidRPr="00522A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>РН 19. </w:t>
            </w:r>
            <w:r w:rsidRPr="00522A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en-US"/>
              </w:rPr>
              <w:t>Пояснювати природу та зміст основних правових явищ і процесів.</w:t>
            </w:r>
            <w:r w:rsidRPr="00522A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 </w:t>
            </w:r>
          </w:p>
          <w:p w:rsidR="00670200" w:rsidRPr="00522A43" w:rsidRDefault="00670200" w:rsidP="00DF7008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en-US"/>
              </w:rPr>
            </w:pPr>
            <w:r w:rsidRPr="00522A4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uk-UA" w:eastAsia="en-US"/>
              </w:rPr>
              <w:t xml:space="preserve">РН 20. </w:t>
            </w:r>
            <w:r w:rsidRPr="00522A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en-US"/>
              </w:rPr>
              <w:t xml:space="preserve">Виокремлювати і аналізувати юридично значущі факти і робити обґрунтовані правові висновки. </w:t>
            </w:r>
          </w:p>
          <w:p w:rsidR="00EB0951" w:rsidRPr="00E4543B" w:rsidRDefault="00670200" w:rsidP="00DF7008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96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РН 21.</w:t>
            </w: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Готувати  проекти  необхідних  актів  застосування  права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AF79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відповідно до правового висновку зробленого у різних правових ситуаціях.  </w:t>
            </w:r>
          </w:p>
        </w:tc>
      </w:tr>
      <w:tr w:rsidR="00EB0951" w:rsidRPr="00F76AE0" w:rsidTr="00F26A72">
        <w:trPr>
          <w:trHeight w:val="964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EB0951" w:rsidRPr="00DB4696" w:rsidRDefault="00EB0951" w:rsidP="00F26A72">
            <w:pPr>
              <w:pStyle w:val="a8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  <w:proofErr w:type="spellEnd"/>
          </w:p>
          <w:p w:rsidR="00EB0951" w:rsidRPr="00DB4696" w:rsidRDefault="00EB0951" w:rsidP="00F26A72">
            <w:pPr>
              <w:pStyle w:val="a8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0" w:type="auto"/>
            <w:vAlign w:val="center"/>
          </w:tcPr>
          <w:p w:rsidR="00EB0951" w:rsidRPr="00110821" w:rsidRDefault="00DB36CE" w:rsidP="00DF7008">
            <w:pPr>
              <w:pStyle w:val="TableParagraph"/>
              <w:spacing w:after="0"/>
              <w:ind w:left="295" w:right="145" w:hanging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4564BF" w:rsidRPr="0034525B">
                <w:rPr>
                  <w:rStyle w:val="a6"/>
                  <w:rFonts w:ascii="Times New Roman" w:hAnsi="Times New Roman" w:cs="Times New Roman"/>
                </w:rPr>
                <w:t>https://eln.stu.cn.ua/course/view.php?id=7809</w:t>
              </w:r>
            </w:hyperlink>
            <w:r w:rsidR="004564BF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0"/>
    </w:tbl>
    <w:p w:rsidR="00EB0951" w:rsidRPr="00DB4696" w:rsidRDefault="00EB0951" w:rsidP="00EB095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DC32D4" w:rsidRPr="00EB0951" w:rsidRDefault="00DC32D4">
      <w:pPr>
        <w:rPr>
          <w:lang w:val="uk-UA"/>
        </w:rPr>
      </w:pPr>
    </w:p>
    <w:sectPr w:rsidR="00DC32D4" w:rsidRPr="00EB0951" w:rsidSect="00DF7008">
      <w:headerReference w:type="default" r:id="rId12"/>
      <w:pgSz w:w="11906" w:h="16838"/>
      <w:pgMar w:top="1134" w:right="851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CE" w:rsidRDefault="00DB36CE">
      <w:pPr>
        <w:spacing w:after="0" w:line="240" w:lineRule="auto"/>
      </w:pPr>
      <w:r>
        <w:separator/>
      </w:r>
    </w:p>
  </w:endnote>
  <w:endnote w:type="continuationSeparator" w:id="0">
    <w:p w:rsidR="00DB36CE" w:rsidRDefault="00DB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CE" w:rsidRDefault="00DB36CE">
      <w:pPr>
        <w:spacing w:after="0" w:line="240" w:lineRule="auto"/>
      </w:pPr>
      <w:r>
        <w:separator/>
      </w:r>
    </w:p>
  </w:footnote>
  <w:footnote w:type="continuationSeparator" w:id="0">
    <w:p w:rsidR="00DB36CE" w:rsidRDefault="00DB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07A7" w:rsidRPr="00BF0EB3" w:rsidRDefault="008806E7" w:rsidP="00BF0EB3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712C4"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7008" w:rsidRPr="00DF7008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514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1">
    <w:nsid w:val="1C9A6C70"/>
    <w:multiLevelType w:val="hybridMultilevel"/>
    <w:tmpl w:val="96AA7274"/>
    <w:lvl w:ilvl="0" w:tplc="69AC5F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951"/>
    <w:rsid w:val="00214C79"/>
    <w:rsid w:val="004564BF"/>
    <w:rsid w:val="00562FCC"/>
    <w:rsid w:val="005712C4"/>
    <w:rsid w:val="00670200"/>
    <w:rsid w:val="00697397"/>
    <w:rsid w:val="006C4E10"/>
    <w:rsid w:val="006F08B3"/>
    <w:rsid w:val="008806E7"/>
    <w:rsid w:val="00B234A4"/>
    <w:rsid w:val="00B71485"/>
    <w:rsid w:val="00B81838"/>
    <w:rsid w:val="00C06B9D"/>
    <w:rsid w:val="00C2764C"/>
    <w:rsid w:val="00DB36CE"/>
    <w:rsid w:val="00DC32D4"/>
    <w:rsid w:val="00DF7008"/>
    <w:rsid w:val="00E4543B"/>
    <w:rsid w:val="00E83376"/>
    <w:rsid w:val="00EA5B0D"/>
    <w:rsid w:val="00EB0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0951"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3"/>
    <w:next w:val="a0"/>
    <w:link w:val="20"/>
    <w:rsid w:val="00EB0951"/>
    <w:pPr>
      <w:suppressAutoHyphens/>
      <w:spacing w:before="120" w:after="120" w:line="360" w:lineRule="auto"/>
      <w:outlineLvl w:val="1"/>
    </w:pPr>
    <w:rPr>
      <w:rFonts w:ascii="Times New Roman" w:eastAsiaTheme="minorEastAsia" w:hAnsi="Times New Roman" w:cs="Times New Roman"/>
      <w:bCs w:val="0"/>
      <w:color w:val="auto"/>
      <w:szCs w:val="20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B09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B0951"/>
    <w:rPr>
      <w:rFonts w:ascii="Times New Roman" w:eastAsiaTheme="minorEastAsia" w:hAnsi="Times New Roman" w:cs="Times New Roman"/>
      <w:b/>
      <w:szCs w:val="20"/>
      <w:lang w:eastAsia="uk-UA"/>
    </w:rPr>
  </w:style>
  <w:style w:type="paragraph" w:styleId="a4">
    <w:name w:val="header"/>
    <w:basedOn w:val="a0"/>
    <w:link w:val="a5"/>
    <w:uiPriority w:val="99"/>
    <w:rsid w:val="00EB0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EB0951"/>
    <w:rPr>
      <w:rFonts w:eastAsiaTheme="minorEastAsia"/>
      <w:lang w:eastAsia="ru-RU"/>
    </w:rPr>
  </w:style>
  <w:style w:type="paragraph" w:customStyle="1" w:styleId="TableParagraph">
    <w:name w:val="Table Paragraph"/>
    <w:basedOn w:val="a0"/>
    <w:uiPriority w:val="1"/>
    <w:qFormat/>
    <w:rsid w:val="00EB0951"/>
    <w:pPr>
      <w:widowControl w:val="0"/>
      <w:autoSpaceDE w:val="0"/>
      <w:autoSpaceDN w:val="0"/>
    </w:pPr>
    <w:rPr>
      <w:lang w:val="uk-UA" w:eastAsia="uk-UA" w:bidi="uk-UA"/>
    </w:rPr>
  </w:style>
  <w:style w:type="paragraph" w:styleId="a">
    <w:name w:val="List Paragraph"/>
    <w:aliases w:val="Заголовок 1 список"/>
    <w:next w:val="-1"/>
    <w:uiPriority w:val="34"/>
    <w:qFormat/>
    <w:rsid w:val="00EB0951"/>
    <w:pPr>
      <w:keepNext/>
      <w:keepLines/>
      <w:numPr>
        <w:numId w:val="1"/>
      </w:numPr>
      <w:spacing w:after="240" w:line="240" w:lineRule="auto"/>
      <w:contextualSpacing/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-1">
    <w:name w:val="Положення-Абзац 1 рівня"/>
    <w:link w:val="-10"/>
    <w:qFormat/>
    <w:rsid w:val="00EB0951"/>
    <w:pPr>
      <w:widowControl w:val="0"/>
      <w:numPr>
        <w:ilvl w:val="1"/>
        <w:numId w:val="2"/>
      </w:num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bCs/>
      <w:sz w:val="28"/>
      <w:lang w:val="uk-UA" w:eastAsia="ru-RU"/>
    </w:rPr>
  </w:style>
  <w:style w:type="character" w:customStyle="1" w:styleId="-10">
    <w:name w:val="Положення-Абзац 1 рівня Знак"/>
    <w:basedOn w:val="a1"/>
    <w:link w:val="-1"/>
    <w:rsid w:val="00EB0951"/>
    <w:rPr>
      <w:rFonts w:ascii="Times New Roman" w:eastAsia="Times New Roman" w:hAnsi="Times New Roman" w:cs="Times New Roman"/>
      <w:bCs/>
      <w:sz w:val="28"/>
      <w:lang w:val="uk-UA" w:eastAsia="ru-RU"/>
    </w:rPr>
  </w:style>
  <w:style w:type="character" w:styleId="a6">
    <w:name w:val="Hyperlink"/>
    <w:basedOn w:val="a1"/>
    <w:uiPriority w:val="99"/>
    <w:unhideWhenUsed/>
    <w:rsid w:val="00EB0951"/>
    <w:rPr>
      <w:color w:val="0000FF"/>
      <w:u w:val="single"/>
    </w:rPr>
  </w:style>
  <w:style w:type="character" w:customStyle="1" w:styleId="a7">
    <w:name w:val="Другое_"/>
    <w:basedOn w:val="a1"/>
    <w:link w:val="a8"/>
    <w:rsid w:val="00EB0951"/>
    <w:rPr>
      <w:rFonts w:ascii="Calibri" w:eastAsia="Calibri" w:hAnsi="Calibri" w:cs="Calibri"/>
    </w:rPr>
  </w:style>
  <w:style w:type="paragraph" w:customStyle="1" w:styleId="a8">
    <w:name w:val="Другое"/>
    <w:basedOn w:val="a0"/>
    <w:link w:val="a7"/>
    <w:rsid w:val="00EB0951"/>
    <w:pPr>
      <w:widowControl w:val="0"/>
      <w:spacing w:line="276" w:lineRule="auto"/>
    </w:pPr>
    <w:rPr>
      <w:rFonts w:ascii="Calibri" w:eastAsia="Calibri" w:hAnsi="Calibri" w:cs="Calibri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EB095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Обычный1"/>
    <w:rsid w:val="0067020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9">
    <w:name w:val="FollowedHyperlink"/>
    <w:basedOn w:val="a1"/>
    <w:uiPriority w:val="99"/>
    <w:semiHidden/>
    <w:unhideWhenUsed/>
    <w:rsid w:val="004564BF"/>
    <w:rPr>
      <w:color w:val="800080" w:themeColor="followedHyperlink"/>
      <w:u w:val="single"/>
    </w:rPr>
  </w:style>
  <w:style w:type="paragraph" w:styleId="aa">
    <w:name w:val="footer"/>
    <w:basedOn w:val="a0"/>
    <w:link w:val="ab"/>
    <w:uiPriority w:val="99"/>
    <w:unhideWhenUsed/>
    <w:rsid w:val="00DF70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F700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n.stu.cn.ua/course/view.php?id=7809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sen88@stu.cn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04A8-7BDC-45D8-A64A-9D4155B7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User402</cp:lastModifiedBy>
  <cp:revision>6</cp:revision>
  <dcterms:created xsi:type="dcterms:W3CDTF">2025-09-15T17:28:00Z</dcterms:created>
  <dcterms:modified xsi:type="dcterms:W3CDTF">2025-11-24T13:27:00Z</dcterms:modified>
</cp:coreProperties>
</file>