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Силабус освітнього компонента</w:t>
      </w:r>
    </w:p>
    <w:p w14:paraId="4A048CAB" w14:textId="26070C7C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6C6D5A">
        <w:rPr>
          <w:i/>
          <w:color w:val="0070C0"/>
          <w:sz w:val="28"/>
          <w:szCs w:val="28"/>
          <w:lang w:val="uk-UA"/>
        </w:rPr>
        <w:t>Кримінальне право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7663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1E64175C" w:rsidR="00DB4696" w:rsidRPr="00DB4696" w:rsidRDefault="00F34865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0A00C56E" w:rsidR="00DB4696" w:rsidRPr="00DB4696" w:rsidRDefault="00DB4696" w:rsidP="001D5EDC">
            <w:pPr>
              <w:widowControl w:val="0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6C6D5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6C6D5A" w:rsidRPr="006C6D5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6C6D5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="00F348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6BB26022" w:rsidR="00DB4696" w:rsidRPr="00DB4696" w:rsidRDefault="006C6D5A" w:rsidP="001D5EDC">
            <w:pPr>
              <w:pStyle w:val="af4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1D5EDC">
            <w:pPr>
              <w:widowControl w:val="0"/>
              <w:spacing w:after="0" w:line="240" w:lineRule="auto"/>
              <w:ind w:left="295" w:right="287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177DFA23" w:rsidR="00DB4696" w:rsidRPr="00DB4696" w:rsidRDefault="00DB4696" w:rsidP="001D5EDC">
            <w:pPr>
              <w:pStyle w:val="af4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14:paraId="038C8A9A" w14:textId="4E38E1EE" w:rsidR="00DB4696" w:rsidRPr="00DB4696" w:rsidRDefault="00DB4696" w:rsidP="001D5EDC">
            <w:pPr>
              <w:pStyle w:val="af4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01A7F3C1" w:rsidR="00DB4696" w:rsidRPr="00DB4696" w:rsidRDefault="006E653F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1D5EDC">
            <w:pPr>
              <w:pStyle w:val="af4"/>
              <w:spacing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101F45B1" w:rsidR="00DB4696" w:rsidRPr="00DB4696" w:rsidRDefault="00DB4696" w:rsidP="001D5EDC">
            <w:pPr>
              <w:pStyle w:val="af4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6E653F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CBC6DB" w14:textId="2C1608F1" w:rsidR="00DB4696" w:rsidRPr="001D5EDC" w:rsidRDefault="006E653F" w:rsidP="001D5EDC">
            <w:pPr>
              <w:pStyle w:val="af4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Коломієць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Володимирівна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11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21A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hyperlink r:id="rId12" w:history="1"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olomiyetsn@</w:t>
              </w:r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stu</w:t>
              </w:r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cn</w:t>
              </w:r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D5EDC" w:rsidRPr="0002331C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1D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696" w:rsidRPr="00FB2B17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2201183C" w14:textId="3DF25686" w:rsidR="006E653F" w:rsidRPr="00523D4A" w:rsidRDefault="006E653F" w:rsidP="001D5EDC">
            <w:pPr>
              <w:pStyle w:val="4"/>
              <w:tabs>
                <w:tab w:val="left" w:pos="900"/>
              </w:tabs>
              <w:spacing w:before="0" w:after="0"/>
              <w:ind w:left="295" w:right="287" w:hanging="15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Поняття</w:t>
            </w:r>
            <w:proofErr w:type="spellEnd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завдання</w:t>
            </w:r>
            <w:proofErr w:type="spellEnd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 система </w:t>
            </w:r>
            <w:proofErr w:type="spellStart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кримінального</w:t>
            </w:r>
            <w:proofErr w:type="spellEnd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права </w:t>
            </w:r>
            <w:proofErr w:type="spellStart"/>
            <w:r w:rsidRPr="00523D4A">
              <w:rPr>
                <w:rFonts w:ascii="Times New Roman" w:hAnsi="Times New Roman" w:cs="Times New Roman"/>
                <w:b w:val="0"/>
                <w:sz w:val="24"/>
                <w:szCs w:val="24"/>
              </w:rPr>
              <w:t>України</w:t>
            </w:r>
            <w:proofErr w:type="spellEnd"/>
          </w:p>
          <w:p w14:paraId="60C9CCCE" w14:textId="5010E9CA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2. </w:t>
            </w:r>
            <w:proofErr w:type="spellStart"/>
            <w:r w:rsidRPr="00523D4A">
              <w:rPr>
                <w:szCs w:val="24"/>
              </w:rPr>
              <w:t>Поняття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. Склад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. </w:t>
            </w:r>
          </w:p>
          <w:p w14:paraId="5F76A56D" w14:textId="1F732733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3. </w:t>
            </w:r>
            <w:proofErr w:type="spellStart"/>
            <w:r w:rsidRPr="00523D4A">
              <w:rPr>
                <w:szCs w:val="24"/>
              </w:rPr>
              <w:t>Об’єкт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. </w:t>
            </w:r>
            <w:proofErr w:type="spellStart"/>
            <w:r w:rsidRPr="00523D4A">
              <w:rPr>
                <w:szCs w:val="24"/>
              </w:rPr>
              <w:t>Об’єктивна</w:t>
            </w:r>
            <w:proofErr w:type="spellEnd"/>
            <w:r w:rsidRPr="00523D4A">
              <w:rPr>
                <w:szCs w:val="24"/>
              </w:rPr>
              <w:t xml:space="preserve"> сторона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629538CF" w14:textId="04328D59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4. </w:t>
            </w:r>
            <w:proofErr w:type="spellStart"/>
            <w:r w:rsidRPr="00523D4A">
              <w:rPr>
                <w:szCs w:val="24"/>
              </w:rPr>
              <w:t>Суб’єктивна</w:t>
            </w:r>
            <w:proofErr w:type="spellEnd"/>
            <w:r w:rsidRPr="00523D4A">
              <w:rPr>
                <w:szCs w:val="24"/>
              </w:rPr>
              <w:t xml:space="preserve"> сторона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. </w:t>
            </w:r>
            <w:proofErr w:type="spellStart"/>
            <w:r w:rsidRPr="00523D4A">
              <w:rPr>
                <w:szCs w:val="24"/>
              </w:rPr>
              <w:t>Суб’єкт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387CD3AD" w14:textId="2772CD72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5. </w:t>
            </w:r>
            <w:proofErr w:type="spellStart"/>
            <w:r w:rsidRPr="00523D4A">
              <w:rPr>
                <w:szCs w:val="24"/>
              </w:rPr>
              <w:t>Стадії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вчинення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. </w:t>
            </w:r>
          </w:p>
          <w:p w14:paraId="54F0846E" w14:textId="77F47583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6. </w:t>
            </w:r>
            <w:proofErr w:type="spellStart"/>
            <w:r w:rsidRPr="00523D4A">
              <w:rPr>
                <w:szCs w:val="24"/>
              </w:rPr>
              <w:t>Співучасть</w:t>
            </w:r>
            <w:proofErr w:type="spellEnd"/>
            <w:r w:rsidRPr="00523D4A">
              <w:rPr>
                <w:szCs w:val="24"/>
              </w:rPr>
              <w:t xml:space="preserve"> у </w:t>
            </w:r>
            <w:proofErr w:type="spellStart"/>
            <w:r w:rsidRPr="00523D4A">
              <w:rPr>
                <w:szCs w:val="24"/>
              </w:rPr>
              <w:t>кримінальному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правопорушенні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27DD6D75" w14:textId="34932BBB" w:rsidR="006E653F" w:rsidRPr="00523D4A" w:rsidRDefault="006E653F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Множинність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</w:p>
          <w:p w14:paraId="1F8F5B2A" w14:textId="0248ACC7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8. </w:t>
            </w:r>
            <w:proofErr w:type="spellStart"/>
            <w:r w:rsidRPr="00523D4A">
              <w:rPr>
                <w:szCs w:val="24"/>
              </w:rPr>
              <w:t>Обставини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що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виключають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кримінальну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протиправність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діяння</w:t>
            </w:r>
            <w:proofErr w:type="spellEnd"/>
          </w:p>
          <w:p w14:paraId="2E37FD4D" w14:textId="22B53C9E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9. </w:t>
            </w:r>
            <w:proofErr w:type="spellStart"/>
            <w:r w:rsidRPr="00523D4A">
              <w:rPr>
                <w:szCs w:val="24"/>
              </w:rPr>
              <w:t>Поняття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покарання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його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види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6FC14F8C" w14:textId="0CFEF5E6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10. </w:t>
            </w:r>
            <w:proofErr w:type="spellStart"/>
            <w:r w:rsidRPr="00523D4A">
              <w:rPr>
                <w:szCs w:val="24"/>
              </w:rPr>
              <w:t>Звільнення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від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відповідальності</w:t>
            </w:r>
            <w:proofErr w:type="spellEnd"/>
          </w:p>
          <w:p w14:paraId="6F293D66" w14:textId="1298CB3C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11. </w:t>
            </w:r>
            <w:r w:rsidRPr="00523D4A">
              <w:rPr>
                <w:szCs w:val="24"/>
                <w:lang w:val="uk-UA"/>
              </w:rPr>
              <w:t>Кримінальні правопорушення</w:t>
            </w:r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основ </w:t>
            </w:r>
            <w:proofErr w:type="spellStart"/>
            <w:r w:rsidRPr="00523D4A">
              <w:rPr>
                <w:szCs w:val="24"/>
              </w:rPr>
              <w:t>національної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безпеки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України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00528291" w14:textId="5DBAF17B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12. 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життя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здоров’я</w:t>
            </w:r>
            <w:proofErr w:type="spellEnd"/>
            <w:r w:rsidRPr="00523D4A">
              <w:rPr>
                <w:szCs w:val="24"/>
              </w:rPr>
              <w:t xml:space="preserve"> особи.</w:t>
            </w:r>
          </w:p>
          <w:p w14:paraId="77781905" w14:textId="6C692F58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13.  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волі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честі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гідності</w:t>
            </w:r>
            <w:proofErr w:type="spellEnd"/>
            <w:r w:rsidRPr="00523D4A">
              <w:rPr>
                <w:szCs w:val="24"/>
              </w:rPr>
              <w:t xml:space="preserve"> особи.</w:t>
            </w:r>
          </w:p>
          <w:p w14:paraId="594B3361" w14:textId="0DA68311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14. 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статевої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свободи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статевої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недоторканості</w:t>
            </w:r>
            <w:proofErr w:type="spellEnd"/>
            <w:r w:rsidRPr="00523D4A">
              <w:rPr>
                <w:szCs w:val="24"/>
              </w:rPr>
              <w:t xml:space="preserve"> особи.</w:t>
            </w:r>
          </w:p>
          <w:p w14:paraId="6638DD0D" w14:textId="2A2C33F1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15. 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виборчих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трудових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інших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особистих</w:t>
            </w:r>
            <w:proofErr w:type="spellEnd"/>
            <w:r w:rsidRPr="00523D4A">
              <w:rPr>
                <w:szCs w:val="24"/>
              </w:rPr>
              <w:t xml:space="preserve"> прав і свобод </w:t>
            </w:r>
            <w:proofErr w:type="spellStart"/>
            <w:r w:rsidRPr="00523D4A">
              <w:rPr>
                <w:szCs w:val="24"/>
              </w:rPr>
              <w:t>людини</w:t>
            </w:r>
            <w:proofErr w:type="spellEnd"/>
            <w:r w:rsidRPr="00523D4A">
              <w:rPr>
                <w:szCs w:val="24"/>
              </w:rPr>
              <w:t xml:space="preserve"> і </w:t>
            </w:r>
            <w:proofErr w:type="spellStart"/>
            <w:r w:rsidRPr="00523D4A">
              <w:rPr>
                <w:szCs w:val="24"/>
              </w:rPr>
              <w:t>громадянина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5FA09129" w14:textId="36707DB8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16.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власності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2997C6A8" w14:textId="048F8E5E" w:rsidR="006E653F" w:rsidRPr="00523D4A" w:rsidRDefault="006E653F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Кримінальні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14:paraId="699D4E3E" w14:textId="01100284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 xml:space="preserve">18.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безпеки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руху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експлуатації</w:t>
            </w:r>
            <w:proofErr w:type="spellEnd"/>
            <w:r w:rsidRPr="00523D4A">
              <w:rPr>
                <w:szCs w:val="24"/>
              </w:rPr>
              <w:t xml:space="preserve"> транспорту.</w:t>
            </w:r>
          </w:p>
          <w:p w14:paraId="1737FAEB" w14:textId="262942F2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lastRenderedPageBreak/>
              <w:t xml:space="preserve">19.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громадського</w:t>
            </w:r>
            <w:proofErr w:type="spellEnd"/>
            <w:r w:rsidRPr="00523D4A">
              <w:rPr>
                <w:szCs w:val="24"/>
              </w:rPr>
              <w:t xml:space="preserve"> порядку та </w:t>
            </w:r>
            <w:proofErr w:type="spellStart"/>
            <w:r w:rsidRPr="00523D4A">
              <w:rPr>
                <w:szCs w:val="24"/>
              </w:rPr>
              <w:t>моральності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2E5BE718" w14:textId="42AACE71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20. 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у </w:t>
            </w:r>
            <w:proofErr w:type="spellStart"/>
            <w:r w:rsidRPr="00523D4A">
              <w:rPr>
                <w:szCs w:val="24"/>
              </w:rPr>
              <w:t>сфері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обігу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наркотичних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засобів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психотропних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речовин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їх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аналогів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або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прекурсорів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інші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здоров’я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населення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44266672" w14:textId="287B0FDE" w:rsidR="006E653F" w:rsidRPr="00523D4A" w:rsidRDefault="006E653F" w:rsidP="001D5EDC">
            <w:pPr>
              <w:shd w:val="clear" w:color="auto" w:fill="FFFFFF"/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Кримінальні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правопорушення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сфері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охорони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державної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таємниці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недоторканості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державних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кордонів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призову та </w:t>
            </w:r>
            <w:proofErr w:type="spellStart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мобілізації</w:t>
            </w:r>
            <w:proofErr w:type="spellEnd"/>
            <w:r w:rsidRPr="00523D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121C975" w14:textId="03D68C24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22. </w:t>
            </w:r>
            <w:bookmarkStart w:id="0" w:name="_Hlk170037145"/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авторитету </w:t>
            </w:r>
            <w:proofErr w:type="spellStart"/>
            <w:r w:rsidRPr="00523D4A">
              <w:rPr>
                <w:szCs w:val="24"/>
              </w:rPr>
              <w:t>органів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державної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влади</w:t>
            </w:r>
            <w:proofErr w:type="spellEnd"/>
            <w:r w:rsidRPr="00523D4A">
              <w:rPr>
                <w:szCs w:val="24"/>
              </w:rPr>
              <w:t xml:space="preserve">, </w:t>
            </w:r>
            <w:proofErr w:type="spellStart"/>
            <w:r w:rsidRPr="00523D4A">
              <w:rPr>
                <w:szCs w:val="24"/>
              </w:rPr>
              <w:t>органів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місцевого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самоврядування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об’єднань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громадян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журналістів</w:t>
            </w:r>
            <w:proofErr w:type="spellEnd"/>
            <w:r w:rsidRPr="00523D4A">
              <w:rPr>
                <w:szCs w:val="24"/>
              </w:rPr>
              <w:t xml:space="preserve">. </w:t>
            </w:r>
          </w:p>
          <w:bookmarkEnd w:id="0"/>
          <w:p w14:paraId="389B3AA6" w14:textId="31783686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bCs/>
                <w:szCs w:val="24"/>
              </w:rPr>
            </w:pPr>
            <w:r w:rsidRPr="00523D4A">
              <w:rPr>
                <w:szCs w:val="24"/>
              </w:rPr>
              <w:t xml:space="preserve">23. </w:t>
            </w:r>
            <w:proofErr w:type="spellStart"/>
            <w:r w:rsidRPr="00523D4A">
              <w:rPr>
                <w:bCs/>
                <w:szCs w:val="24"/>
              </w:rPr>
              <w:t>Кримінальні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правопорушення</w:t>
            </w:r>
            <w:proofErr w:type="spellEnd"/>
            <w:r w:rsidRPr="00523D4A">
              <w:rPr>
                <w:bCs/>
                <w:szCs w:val="24"/>
              </w:rPr>
              <w:t xml:space="preserve"> у </w:t>
            </w:r>
            <w:proofErr w:type="spellStart"/>
            <w:r w:rsidRPr="00523D4A">
              <w:rPr>
                <w:bCs/>
                <w:szCs w:val="24"/>
              </w:rPr>
              <w:t>сфері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службової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діяльності</w:t>
            </w:r>
            <w:proofErr w:type="spellEnd"/>
            <w:r w:rsidRPr="00523D4A">
              <w:rPr>
                <w:bCs/>
                <w:szCs w:val="24"/>
              </w:rPr>
              <w:t xml:space="preserve"> та </w:t>
            </w:r>
            <w:proofErr w:type="spellStart"/>
            <w:r w:rsidRPr="00523D4A">
              <w:rPr>
                <w:bCs/>
                <w:szCs w:val="24"/>
              </w:rPr>
              <w:t>професійної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діяльності</w:t>
            </w:r>
            <w:proofErr w:type="spellEnd"/>
            <w:r w:rsidRPr="00523D4A">
              <w:rPr>
                <w:bCs/>
                <w:szCs w:val="24"/>
              </w:rPr>
              <w:t xml:space="preserve">, </w:t>
            </w:r>
            <w:proofErr w:type="spellStart"/>
            <w:r w:rsidRPr="00523D4A">
              <w:rPr>
                <w:bCs/>
                <w:szCs w:val="24"/>
              </w:rPr>
              <w:t>пов’язаної</w:t>
            </w:r>
            <w:proofErr w:type="spellEnd"/>
            <w:r w:rsidRPr="00523D4A">
              <w:rPr>
                <w:bCs/>
                <w:szCs w:val="24"/>
              </w:rPr>
              <w:t xml:space="preserve"> з </w:t>
            </w:r>
            <w:proofErr w:type="spellStart"/>
            <w:r w:rsidRPr="00523D4A">
              <w:rPr>
                <w:bCs/>
                <w:szCs w:val="24"/>
              </w:rPr>
              <w:t>наданням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публічних</w:t>
            </w:r>
            <w:proofErr w:type="spellEnd"/>
            <w:r w:rsidRPr="00523D4A">
              <w:rPr>
                <w:bCs/>
                <w:szCs w:val="24"/>
              </w:rPr>
              <w:t xml:space="preserve"> </w:t>
            </w:r>
            <w:proofErr w:type="spellStart"/>
            <w:r w:rsidRPr="00523D4A">
              <w:rPr>
                <w:bCs/>
                <w:szCs w:val="24"/>
              </w:rPr>
              <w:t>послуг</w:t>
            </w:r>
            <w:proofErr w:type="spellEnd"/>
            <w:r w:rsidRPr="00523D4A">
              <w:rPr>
                <w:bCs/>
                <w:szCs w:val="24"/>
              </w:rPr>
              <w:t>.</w:t>
            </w:r>
          </w:p>
          <w:p w14:paraId="60CBB753" w14:textId="38D9F738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24. 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правосуддя</w:t>
            </w:r>
            <w:proofErr w:type="spellEnd"/>
            <w:r w:rsidRPr="00523D4A">
              <w:rPr>
                <w:szCs w:val="24"/>
              </w:rPr>
              <w:t>.</w:t>
            </w:r>
          </w:p>
          <w:p w14:paraId="41F39B77" w14:textId="3E286643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25. 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встановленого</w:t>
            </w:r>
            <w:proofErr w:type="spellEnd"/>
            <w:r w:rsidRPr="00523D4A">
              <w:rPr>
                <w:szCs w:val="24"/>
              </w:rPr>
              <w:t xml:space="preserve"> порядку </w:t>
            </w:r>
            <w:proofErr w:type="spellStart"/>
            <w:r w:rsidRPr="00523D4A">
              <w:rPr>
                <w:szCs w:val="24"/>
              </w:rPr>
              <w:t>несення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військової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служби</w:t>
            </w:r>
            <w:proofErr w:type="spellEnd"/>
            <w:r w:rsidRPr="00523D4A">
              <w:rPr>
                <w:szCs w:val="24"/>
              </w:rPr>
              <w:t xml:space="preserve"> (</w:t>
            </w:r>
            <w:proofErr w:type="spellStart"/>
            <w:r w:rsidRPr="00523D4A">
              <w:rPr>
                <w:szCs w:val="24"/>
              </w:rPr>
              <w:t>військові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>).</w:t>
            </w:r>
          </w:p>
          <w:p w14:paraId="1754D87F" w14:textId="41594E95" w:rsidR="006E653F" w:rsidRPr="00523D4A" w:rsidRDefault="006E653F" w:rsidP="001D5EDC">
            <w:pPr>
              <w:pStyle w:val="11"/>
              <w:spacing w:before="0" w:after="0"/>
              <w:ind w:left="295" w:right="287" w:hanging="15"/>
              <w:jc w:val="both"/>
              <w:rPr>
                <w:szCs w:val="24"/>
              </w:rPr>
            </w:pPr>
            <w:r w:rsidRPr="00523D4A">
              <w:rPr>
                <w:szCs w:val="24"/>
              </w:rPr>
              <w:t>26. </w:t>
            </w:r>
            <w:proofErr w:type="spellStart"/>
            <w:r w:rsidRPr="00523D4A">
              <w:rPr>
                <w:szCs w:val="24"/>
              </w:rPr>
              <w:t>Кримінальні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правопорушення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проти</w:t>
            </w:r>
            <w:proofErr w:type="spellEnd"/>
            <w:r w:rsidRPr="00523D4A">
              <w:rPr>
                <w:szCs w:val="24"/>
              </w:rPr>
              <w:t xml:space="preserve"> миру, </w:t>
            </w:r>
            <w:proofErr w:type="spellStart"/>
            <w:r w:rsidRPr="00523D4A">
              <w:rPr>
                <w:szCs w:val="24"/>
              </w:rPr>
              <w:t>безпеки</w:t>
            </w:r>
            <w:proofErr w:type="spellEnd"/>
            <w:r w:rsidRPr="00523D4A">
              <w:rPr>
                <w:szCs w:val="24"/>
              </w:rPr>
              <w:t xml:space="preserve"> </w:t>
            </w:r>
            <w:proofErr w:type="spellStart"/>
            <w:r w:rsidRPr="00523D4A">
              <w:rPr>
                <w:szCs w:val="24"/>
              </w:rPr>
              <w:t>людства</w:t>
            </w:r>
            <w:proofErr w:type="spellEnd"/>
            <w:r w:rsidRPr="00523D4A">
              <w:rPr>
                <w:szCs w:val="24"/>
              </w:rPr>
              <w:t xml:space="preserve"> та </w:t>
            </w:r>
            <w:proofErr w:type="spellStart"/>
            <w:r w:rsidRPr="00523D4A">
              <w:rPr>
                <w:szCs w:val="24"/>
              </w:rPr>
              <w:t>міжнародного</w:t>
            </w:r>
            <w:proofErr w:type="spellEnd"/>
            <w:r w:rsidRPr="00523D4A">
              <w:rPr>
                <w:szCs w:val="24"/>
              </w:rPr>
              <w:t xml:space="preserve"> правопорядку.</w:t>
            </w:r>
          </w:p>
          <w:p w14:paraId="61FA286F" w14:textId="57CC1E67" w:rsidR="00FB2B17" w:rsidRPr="00523D4A" w:rsidRDefault="00FB2B17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B4696" w:rsidRPr="00AD195A" w14:paraId="0547A21F" w14:textId="77777777" w:rsidTr="00F21AF7">
        <w:trPr>
          <w:trHeight w:val="107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3C3CD86D" w14:textId="07D63FF4" w:rsidR="00DB4696" w:rsidRPr="00F21AF7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F21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ормування у здобувачів вищої освіти знань про систему юридичних норм, що встановлюють, які суспільно-небезпечні діяння є кримінальними правопорушеннями, і які покарання підлягають застосуванню до осіб, що їх вчинили. 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14:paraId="5EC01BD5" w14:textId="77777777" w:rsidR="00523D4A" w:rsidRPr="0076478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ЗК 2.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899C4" w14:textId="77777777" w:rsidR="00523D4A" w:rsidRPr="0076478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ЗК 3.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предметної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2FB071" w14:textId="77777777" w:rsidR="00523D4A" w:rsidRPr="0076478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4. Здатність спілкуватися</w:t>
            </w:r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90E0C1" w14:textId="77777777" w:rsidR="00523D4A" w:rsidRPr="0076478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6.</w:t>
            </w:r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0B0FC5" w14:textId="77777777" w:rsidR="00523D4A" w:rsidRPr="0076478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7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 17.</w:t>
            </w:r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написання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академічних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текстів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аргументованого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та толерантного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відстоювання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своїх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поглядів</w:t>
            </w:r>
            <w:proofErr w:type="spellEnd"/>
            <w:r w:rsidRPr="00764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3C0DF7" w14:textId="391A0D14" w:rsidR="00523D4A" w:rsidRDefault="00523D4A" w:rsidP="001D5EDC">
            <w:pPr>
              <w:adjustRightInd w:val="0"/>
              <w:spacing w:after="0" w:line="240" w:lineRule="auto"/>
              <w:ind w:left="295" w:right="287" w:hanging="1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647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 7.</w:t>
            </w:r>
            <w:r w:rsidR="001D5EDC" w:rsidRPr="001D5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Здатність застосовувати норми та інститути права, щонайменше з таких галузей, як: конституційне право, </w:t>
            </w:r>
            <w:proofErr w:type="gramStart"/>
            <w:r w:rsidR="001D5EDC" w:rsidRPr="001D5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адм</w:t>
            </w:r>
            <w:proofErr w:type="gramEnd"/>
            <w:r w:rsidR="001D5EDC" w:rsidRPr="001D5E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</w:t>
            </w:r>
          </w:p>
          <w:p w14:paraId="7C8D504B" w14:textId="544E5158" w:rsidR="00AD195A" w:rsidRPr="00EC61F8" w:rsidRDefault="00AD195A" w:rsidP="001D5EDC">
            <w:pPr>
              <w:adjustRightInd w:val="0"/>
              <w:spacing w:after="0" w:line="240" w:lineRule="auto"/>
              <w:ind w:left="295" w:right="287" w:hanging="1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6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 8.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застосовувати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та доктрини.</w:t>
            </w:r>
            <w:bookmarkStart w:id="1" w:name="_GoBack"/>
            <w:bookmarkEnd w:id="1"/>
          </w:p>
          <w:p w14:paraId="68BD5592" w14:textId="554A8FEB" w:rsidR="005054CE" w:rsidRPr="00F21AF7" w:rsidRDefault="00523D4A" w:rsidP="001D5EDC">
            <w:pPr>
              <w:adjustRightInd w:val="0"/>
              <w:spacing w:after="0" w:line="240" w:lineRule="auto"/>
              <w:ind w:left="295" w:right="287" w:hanging="15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</w:pPr>
            <w:r w:rsidRPr="00EC6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 13.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критичного</w:t>
            </w:r>
            <w:proofErr w:type="gram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та системного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EC6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61F8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</w:tr>
      <w:tr w:rsidR="00DB4696" w:rsidRPr="00F34865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1D5EDC">
            <w:pPr>
              <w:widowControl w:val="0"/>
              <w:autoSpaceDE w:val="0"/>
              <w:autoSpaceDN w:val="0"/>
              <w:spacing w:after="0" w:line="240" w:lineRule="auto"/>
              <w:ind w:left="295" w:right="287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2E4C9D92" w14:textId="3B3BFF01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1519F" w:rsidRPr="00523D4A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="00B1519F"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переконливість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аргументів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оцінки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заздалегідь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невідомих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умов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обставин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C45B87D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РН 3.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збір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інтегрований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C37412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РН 7.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Складати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узгоджувати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власного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самостійно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збирати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визначеними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джерелами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489627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РН 10.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Вільно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спілкуватись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державною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мовами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усно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, так і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письмово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застосуванням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правничої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термінології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DB5382C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РН 11.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риторики.</w:t>
            </w:r>
          </w:p>
          <w:p w14:paraId="0C38E04E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РН 13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нати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розуміти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матеріального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процесуального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права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1CE86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РН 18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астосовувати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доктрини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цінності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правової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95CE1BE" w14:textId="77777777" w:rsidR="00523D4A" w:rsidRPr="00523D4A" w:rsidRDefault="00523D4A" w:rsidP="001D5EDC">
            <w:pPr>
              <w:spacing w:after="0" w:line="240" w:lineRule="auto"/>
              <w:ind w:left="295" w:right="287"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РН19.</w:t>
            </w:r>
            <w:r w:rsidRPr="0052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ояснювати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та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явищ</w:t>
            </w:r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bookmarkStart w:id="2" w:name="_Hlk206244234"/>
            <w:proofErr w:type="spellEnd"/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14:paraId="096BA957" w14:textId="28800A22" w:rsidR="005054CE" w:rsidRPr="00F21AF7" w:rsidRDefault="00523D4A" w:rsidP="001D5EDC">
            <w:pPr>
              <w:spacing w:after="0" w:line="240" w:lineRule="auto"/>
              <w:ind w:left="295" w:right="287" w:hanging="1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23D4A">
              <w:rPr>
                <w:rFonts w:ascii="Times New Roman" w:hAnsi="Times New Roman" w:cs="Times New Roman"/>
                <w:sz w:val="24"/>
                <w:szCs w:val="24"/>
              </w:rPr>
              <w:t>РН 20.</w:t>
            </w:r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Виокремлювати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юридично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значущі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обґрунтовані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правові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висновки</w:t>
            </w:r>
            <w:proofErr w:type="spellEnd"/>
            <w:r w:rsidRPr="000C4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4696" w:rsidRPr="00AD195A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5C8AB5B0" w:rsidR="00DB4696" w:rsidRPr="00A0613B" w:rsidRDefault="00492FC1" w:rsidP="001D5EDC">
            <w:pPr>
              <w:pStyle w:val="TableParagraph"/>
              <w:spacing w:after="0"/>
              <w:ind w:left="295" w:right="287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="00F21AF7" w:rsidRPr="00772905">
                <w:rPr>
                  <w:rStyle w:val="af"/>
                  <w:sz w:val="24"/>
                  <w:szCs w:val="24"/>
                </w:rPr>
                <w:t>https://eln.stu.cn.ua/course/view.php?id=8124</w:t>
              </w:r>
            </w:hyperlink>
            <w:r w:rsidR="00F21AF7">
              <w:rPr>
                <w:rStyle w:val="af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5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9366D" w14:textId="77777777" w:rsidR="00492FC1" w:rsidRDefault="00492FC1">
      <w:r>
        <w:separator/>
      </w:r>
    </w:p>
    <w:p w14:paraId="1859A20E" w14:textId="77777777" w:rsidR="00492FC1" w:rsidRDefault="00492FC1"/>
    <w:p w14:paraId="41AABE3D" w14:textId="77777777" w:rsidR="00492FC1" w:rsidRDefault="00492FC1" w:rsidP="0083313A"/>
    <w:p w14:paraId="4E510B1E" w14:textId="77777777" w:rsidR="00492FC1" w:rsidRDefault="00492FC1"/>
  </w:endnote>
  <w:endnote w:type="continuationSeparator" w:id="0">
    <w:p w14:paraId="0B85FC7E" w14:textId="77777777" w:rsidR="00492FC1" w:rsidRDefault="00492FC1">
      <w:r>
        <w:continuationSeparator/>
      </w:r>
    </w:p>
    <w:p w14:paraId="2E3412DD" w14:textId="77777777" w:rsidR="00492FC1" w:rsidRDefault="00492FC1"/>
    <w:p w14:paraId="1EC47EC1" w14:textId="77777777" w:rsidR="00492FC1" w:rsidRDefault="00492FC1" w:rsidP="0083313A"/>
    <w:p w14:paraId="733F7D1D" w14:textId="77777777" w:rsidR="00492FC1" w:rsidRDefault="00492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6F089" w14:textId="77777777" w:rsidR="00492FC1" w:rsidRDefault="00492FC1">
      <w:r>
        <w:separator/>
      </w:r>
    </w:p>
    <w:p w14:paraId="1E46883F" w14:textId="77777777" w:rsidR="00492FC1" w:rsidRDefault="00492FC1"/>
    <w:p w14:paraId="12E58F83" w14:textId="77777777" w:rsidR="00492FC1" w:rsidRDefault="00492FC1" w:rsidP="0083313A"/>
    <w:p w14:paraId="0BBF5807" w14:textId="77777777" w:rsidR="00492FC1" w:rsidRDefault="00492FC1"/>
  </w:footnote>
  <w:footnote w:type="continuationSeparator" w:id="0">
    <w:p w14:paraId="217DC9EF" w14:textId="77777777" w:rsidR="00492FC1" w:rsidRDefault="00492FC1">
      <w:r>
        <w:continuationSeparator/>
      </w:r>
    </w:p>
    <w:p w14:paraId="71B8A71E" w14:textId="77777777" w:rsidR="00492FC1" w:rsidRDefault="00492FC1"/>
    <w:p w14:paraId="53F02D2C" w14:textId="77777777" w:rsidR="00492FC1" w:rsidRDefault="00492FC1" w:rsidP="0083313A"/>
    <w:p w14:paraId="4001D3D1" w14:textId="77777777" w:rsidR="00492FC1" w:rsidRDefault="00492F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95A" w:rsidRPr="00AD195A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138A4"/>
    <w:rsid w:val="0002412A"/>
    <w:rsid w:val="00044007"/>
    <w:rsid w:val="000529F9"/>
    <w:rsid w:val="00053EB9"/>
    <w:rsid w:val="0006096F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26965"/>
    <w:rsid w:val="0014075E"/>
    <w:rsid w:val="00154ECB"/>
    <w:rsid w:val="0016016D"/>
    <w:rsid w:val="00171029"/>
    <w:rsid w:val="001766FE"/>
    <w:rsid w:val="001807A7"/>
    <w:rsid w:val="00180BF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D5EDC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56A53"/>
    <w:rsid w:val="00273DBF"/>
    <w:rsid w:val="00292D32"/>
    <w:rsid w:val="002A168F"/>
    <w:rsid w:val="002C0A6D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5180"/>
    <w:rsid w:val="003B7BCC"/>
    <w:rsid w:val="003C198C"/>
    <w:rsid w:val="003D4399"/>
    <w:rsid w:val="003D562F"/>
    <w:rsid w:val="003D6BE7"/>
    <w:rsid w:val="003F670D"/>
    <w:rsid w:val="0040685F"/>
    <w:rsid w:val="00440AFB"/>
    <w:rsid w:val="004412EE"/>
    <w:rsid w:val="00460B41"/>
    <w:rsid w:val="00467D8F"/>
    <w:rsid w:val="004746C5"/>
    <w:rsid w:val="00477368"/>
    <w:rsid w:val="00480A42"/>
    <w:rsid w:val="00491B98"/>
    <w:rsid w:val="00492FC1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3D4A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C6D5A"/>
    <w:rsid w:val="006D3964"/>
    <w:rsid w:val="006E653F"/>
    <w:rsid w:val="006F5DFB"/>
    <w:rsid w:val="006F6943"/>
    <w:rsid w:val="00711A4D"/>
    <w:rsid w:val="00720DE3"/>
    <w:rsid w:val="007363D8"/>
    <w:rsid w:val="007366E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651A"/>
    <w:rsid w:val="00952D4A"/>
    <w:rsid w:val="00966AC0"/>
    <w:rsid w:val="00970472"/>
    <w:rsid w:val="00971090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A2FE2"/>
    <w:rsid w:val="00AB3594"/>
    <w:rsid w:val="00AC1C9A"/>
    <w:rsid w:val="00AC6693"/>
    <w:rsid w:val="00AD195A"/>
    <w:rsid w:val="00AD7C02"/>
    <w:rsid w:val="00AE51AC"/>
    <w:rsid w:val="00B112F1"/>
    <w:rsid w:val="00B1519F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120C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5E5E"/>
    <w:rsid w:val="00EF4371"/>
    <w:rsid w:val="00EF54FD"/>
    <w:rsid w:val="00F1131A"/>
    <w:rsid w:val="00F21AF7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76D0"/>
    <w:rsid w:val="00F8315A"/>
    <w:rsid w:val="00F8446D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paragraph" w:customStyle="1" w:styleId="11">
    <w:name w:val="Обычный1"/>
    <w:rsid w:val="006E653F"/>
    <w:pPr>
      <w:spacing w:before="100" w:after="100"/>
    </w:pPr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olomiyetsn@stu.cn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n.stu.cn.ua/course/view.php?id=812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7E439-35E7-4F41-A04D-D98A954F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14</cp:revision>
  <cp:lastPrinted>2021-03-21T17:26:00Z</cp:lastPrinted>
  <dcterms:created xsi:type="dcterms:W3CDTF">2025-06-23T08:59:00Z</dcterms:created>
  <dcterms:modified xsi:type="dcterms:W3CDTF">2026-01-13T13:52:00Z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