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BDB" w:rsidRDefault="00FE1BDB" w:rsidP="00FE1BDB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proofErr w:type="spellStart"/>
      <w:r>
        <w:rPr>
          <w:i/>
          <w:color w:val="0070C0"/>
          <w:sz w:val="28"/>
          <w:szCs w:val="28"/>
          <w:lang w:val="uk-UA"/>
        </w:rPr>
        <w:t>Силабус</w:t>
      </w:r>
      <w:proofErr w:type="spellEnd"/>
      <w:r>
        <w:rPr>
          <w:i/>
          <w:color w:val="0070C0"/>
          <w:sz w:val="28"/>
          <w:szCs w:val="28"/>
          <w:lang w:val="uk-UA"/>
        </w:rPr>
        <w:t xml:space="preserve"> освітнього компонента</w:t>
      </w:r>
    </w:p>
    <w:p w:rsidR="00FE1BDB" w:rsidRDefault="00FE1BDB" w:rsidP="00FE1BDB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>
        <w:rPr>
          <w:i/>
          <w:color w:val="0070C0"/>
          <w:sz w:val="28"/>
          <w:szCs w:val="28"/>
          <w:lang w:val="uk-UA"/>
        </w:rPr>
        <w:t>«</w:t>
      </w:r>
      <w:proofErr w:type="spellStart"/>
      <w:r w:rsidRPr="00FE1BDB">
        <w:rPr>
          <w:i/>
          <w:color w:val="0070C0"/>
          <w:sz w:val="28"/>
          <w:szCs w:val="28"/>
          <w:lang w:val="uk-UA"/>
        </w:rPr>
        <w:t>Cудова</w:t>
      </w:r>
      <w:proofErr w:type="spellEnd"/>
      <w:r w:rsidRPr="00FE1BDB">
        <w:rPr>
          <w:i/>
          <w:color w:val="0070C0"/>
          <w:sz w:val="28"/>
          <w:szCs w:val="28"/>
          <w:lang w:val="uk-UA"/>
        </w:rPr>
        <w:t xml:space="preserve"> медицина та судова психіатрія</w:t>
      </w:r>
      <w:r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7401"/>
      </w:tblGrid>
      <w:tr w:rsidR="00FE1BDB" w:rsidTr="00FE1BDB">
        <w:trPr>
          <w:trHeight w:val="660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1BDB" w:rsidRDefault="00FE1BD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E1BDB" w:rsidRDefault="00FE1BDB" w:rsidP="00FD7B85">
            <w:pPr>
              <w:pStyle w:val="a6"/>
              <w:spacing w:line="240" w:lineRule="auto"/>
              <w:ind w:left="163" w:right="35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</w:p>
        </w:tc>
      </w:tr>
      <w:tr w:rsidR="00FE1BDB" w:rsidTr="00FE1BDB">
        <w:trPr>
          <w:trHeight w:val="660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1BDB" w:rsidRDefault="00FE1BD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вищої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E1BDB" w:rsidRDefault="00FE1BDB" w:rsidP="00FD7B85">
            <w:pPr>
              <w:pStyle w:val="a6"/>
              <w:spacing w:line="240" w:lineRule="auto"/>
              <w:ind w:left="163" w:right="35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E1BDB" w:rsidTr="00FE1BDB">
        <w:trPr>
          <w:trHeight w:val="399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1BDB" w:rsidRDefault="00FE1BD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E1BDB" w:rsidRDefault="00FE1BDB" w:rsidP="00FD7B85">
            <w:pPr>
              <w:pStyle w:val="a6"/>
              <w:spacing w:line="240" w:lineRule="auto"/>
              <w:ind w:left="163" w:right="35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BD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FE1BD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</w:p>
        </w:tc>
      </w:tr>
      <w:tr w:rsidR="00FE1BDB" w:rsidRPr="00FE1BDB" w:rsidTr="00FE1BDB">
        <w:trPr>
          <w:trHeight w:val="775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1BDB" w:rsidRDefault="00FE1BD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E1BDB" w:rsidRDefault="00FE1BDB" w:rsidP="00FD7B85">
            <w:pPr>
              <w:widowControl w:val="0"/>
              <w:spacing w:after="0" w:line="240" w:lineRule="auto"/>
              <w:ind w:left="163" w:right="359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</w:t>
            </w:r>
            <w:r w:rsidRPr="00FE1BDB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- </w:t>
            </w:r>
            <w:r w:rsidR="00C93B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E1B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FE1BDB" w:rsidTr="00FE1BDB">
        <w:trPr>
          <w:trHeight w:val="964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1BDB" w:rsidRDefault="00FE1BD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Обсяг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дисципліни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розподіл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годин</w:t>
            </w:r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E1BDB" w:rsidRDefault="00FE1BDB" w:rsidP="00FD7B85">
            <w:pPr>
              <w:pStyle w:val="a6"/>
              <w:spacing w:after="0" w:line="240" w:lineRule="auto"/>
              <w:ind w:left="163" w:right="359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кредити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ЄКТС (120 годин)</w:t>
            </w:r>
          </w:p>
          <w:p w:rsidR="00FE1BDB" w:rsidRDefault="00FE1BDB" w:rsidP="00FD7B85">
            <w:pPr>
              <w:widowControl w:val="0"/>
              <w:spacing w:after="0" w:line="240" w:lineRule="auto"/>
              <w:ind w:left="163" w:right="359" w:firstLine="1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:rsidR="00FE1BDB" w:rsidRDefault="00265857" w:rsidP="00FD7B85">
            <w:pPr>
              <w:pStyle w:val="a6"/>
              <w:spacing w:after="0" w:line="240" w:lineRule="auto"/>
              <w:ind w:left="163" w:right="359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- 24 годин,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- 16</w:t>
            </w:r>
            <w:r w:rsidR="00FE1B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годин</w:t>
            </w:r>
          </w:p>
          <w:p w:rsidR="00FE1BDB" w:rsidRDefault="00FE1BDB" w:rsidP="00FD7B85">
            <w:pPr>
              <w:pStyle w:val="a6"/>
              <w:spacing w:after="0" w:line="240" w:lineRule="auto"/>
              <w:ind w:left="163" w:right="35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1BDB" w:rsidTr="00FE1BDB">
        <w:trPr>
          <w:trHeight w:val="449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1BDB" w:rsidRDefault="00FE1BD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контролю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E1BDB" w:rsidRDefault="00E359FC" w:rsidP="00FD7B85">
            <w:pPr>
              <w:pStyle w:val="a6"/>
              <w:spacing w:line="240" w:lineRule="auto"/>
              <w:ind w:left="163" w:right="359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залік </w:t>
            </w:r>
          </w:p>
        </w:tc>
      </w:tr>
      <w:tr w:rsidR="00FE1BDB" w:rsidTr="00FE1BDB">
        <w:trPr>
          <w:trHeight w:val="351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1BDB" w:rsidRDefault="00FE1BD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викладання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E1BDB" w:rsidRDefault="00FE1BDB" w:rsidP="00FD7B85">
            <w:pPr>
              <w:pStyle w:val="a6"/>
              <w:spacing w:line="240" w:lineRule="auto"/>
              <w:ind w:left="163" w:right="35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</w:p>
        </w:tc>
      </w:tr>
      <w:tr w:rsidR="00FE1BDB" w:rsidTr="00FE1BDB">
        <w:trPr>
          <w:trHeight w:val="457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1BDB" w:rsidRDefault="00FE1BD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спеціальності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FE1BDB" w:rsidRDefault="00FE1BDB" w:rsidP="00FD7B85">
            <w:pPr>
              <w:pStyle w:val="a6"/>
              <w:spacing w:line="240" w:lineRule="auto"/>
              <w:ind w:left="163" w:right="35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99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</w:p>
        </w:tc>
      </w:tr>
      <w:tr w:rsidR="00FE1BDB" w:rsidRPr="00FE1BDB" w:rsidTr="00FE1BDB">
        <w:trPr>
          <w:trHeight w:val="791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1BDB" w:rsidRDefault="00FE1BD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забезпечує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D533D1" w:rsidRDefault="00D533D1" w:rsidP="00FD7B85">
            <w:pPr>
              <w:pStyle w:val="a6"/>
              <w:spacing w:after="0" w:line="240" w:lineRule="auto"/>
              <w:ind w:left="163" w:right="359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кримінального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правосуддя</w:t>
            </w:r>
            <w:proofErr w:type="spellEnd"/>
          </w:p>
          <w:p w:rsidR="00883840" w:rsidRPr="00883840" w:rsidRDefault="009107C1" w:rsidP="00FD7B85">
            <w:pPr>
              <w:pStyle w:val="a6"/>
              <w:spacing w:after="0" w:line="240" w:lineRule="auto"/>
              <w:ind w:left="163" w:right="359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F81C72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F81C72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F81C72">
              <w:rPr>
                <w:lang w:val="ru-RU"/>
              </w:rPr>
              <w:instrText>:</w:instrText>
            </w:r>
            <w:r>
              <w:instrText>angela</w:instrText>
            </w:r>
            <w:r w:rsidRPr="00F81C72">
              <w:rPr>
                <w:lang w:val="ru-RU"/>
              </w:rPr>
              <w:instrText>-0044@</w:instrText>
            </w:r>
            <w:r>
              <w:instrText>stu</w:instrText>
            </w:r>
            <w:r w:rsidRPr="00F81C72">
              <w:rPr>
                <w:lang w:val="ru-RU"/>
              </w:rPr>
              <w:instrText>.</w:instrText>
            </w:r>
            <w:r>
              <w:instrText>cn</w:instrText>
            </w:r>
            <w:r w:rsidRPr="00F81C72">
              <w:rPr>
                <w:lang w:val="ru-RU"/>
              </w:rPr>
              <w:instrText>.</w:instrText>
            </w:r>
            <w:r>
              <w:instrText>ua</w:instrText>
            </w:r>
            <w:r w:rsidRPr="00F81C72">
              <w:rPr>
                <w:lang w:val="ru-RU"/>
              </w:rPr>
              <w:instrText>" \</w:instrText>
            </w:r>
            <w:r>
              <w:instrText>t</w:instrText>
            </w:r>
            <w:r w:rsidRPr="00F81C72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F81C72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D533D1">
              <w:rPr>
                <w:rStyle w:val="a3"/>
                <w:rFonts w:ascii="Arial" w:hAnsi="Arial" w:cs="Arial"/>
                <w:color w:val="1155CC"/>
                <w:sz w:val="20"/>
              </w:rPr>
              <w:t>angela</w:t>
            </w:r>
            <w:r w:rsidR="00D533D1" w:rsidRPr="00C93B30">
              <w:rPr>
                <w:rStyle w:val="a3"/>
                <w:rFonts w:ascii="Arial" w:hAnsi="Arial" w:cs="Arial"/>
                <w:color w:val="1155CC"/>
                <w:sz w:val="20"/>
                <w:lang w:val="ru-RU"/>
              </w:rPr>
              <w:t>-0044@</w:t>
            </w:r>
            <w:r w:rsidR="00D533D1">
              <w:rPr>
                <w:rStyle w:val="a3"/>
                <w:rFonts w:ascii="Arial" w:hAnsi="Arial" w:cs="Arial"/>
                <w:color w:val="1155CC"/>
                <w:sz w:val="20"/>
              </w:rPr>
              <w:t>stu</w:t>
            </w:r>
            <w:r w:rsidR="00D533D1" w:rsidRPr="00C93B30">
              <w:rPr>
                <w:rStyle w:val="a3"/>
                <w:rFonts w:ascii="Arial" w:hAnsi="Arial" w:cs="Arial"/>
                <w:color w:val="1155CC"/>
                <w:sz w:val="20"/>
                <w:lang w:val="ru-RU"/>
              </w:rPr>
              <w:t>.</w:t>
            </w:r>
            <w:r w:rsidR="00D533D1">
              <w:rPr>
                <w:rStyle w:val="a3"/>
                <w:rFonts w:ascii="Arial" w:hAnsi="Arial" w:cs="Arial"/>
                <w:color w:val="1155CC"/>
                <w:sz w:val="20"/>
              </w:rPr>
              <w:t>cn</w:t>
            </w:r>
            <w:r w:rsidR="00D533D1" w:rsidRPr="00C93B30">
              <w:rPr>
                <w:rStyle w:val="a3"/>
                <w:rFonts w:ascii="Arial" w:hAnsi="Arial" w:cs="Arial"/>
                <w:color w:val="1155CC"/>
                <w:sz w:val="20"/>
                <w:lang w:val="ru-RU"/>
              </w:rPr>
              <w:t>.</w:t>
            </w:r>
            <w:proofErr w:type="spellStart"/>
            <w:r w:rsidR="00D533D1">
              <w:rPr>
                <w:rStyle w:val="a3"/>
                <w:rFonts w:ascii="Arial" w:hAnsi="Arial" w:cs="Arial"/>
                <w:color w:val="1155CC"/>
                <w:sz w:val="20"/>
              </w:rPr>
              <w:t>ua</w:t>
            </w:r>
            <w:proofErr w:type="spellEnd"/>
            <w:r>
              <w:rPr>
                <w:rStyle w:val="a3"/>
                <w:rFonts w:ascii="Arial" w:hAnsi="Arial" w:cs="Arial"/>
                <w:color w:val="1155CC"/>
                <w:sz w:val="20"/>
              </w:rPr>
              <w:fldChar w:fldCharType="end"/>
            </w:r>
          </w:p>
        </w:tc>
      </w:tr>
      <w:tr w:rsidR="00FE1BDB" w:rsidRPr="00265857" w:rsidTr="00FE1BDB">
        <w:trPr>
          <w:trHeight w:val="1241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1BDB" w:rsidRDefault="00FE1BD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hideMark/>
          </w:tcPr>
          <w:p w:rsidR="00857E9C" w:rsidRDefault="00857E9C" w:rsidP="00FD7B85">
            <w:pPr>
              <w:pStyle w:val="a4"/>
              <w:numPr>
                <w:ilvl w:val="0"/>
                <w:numId w:val="1"/>
              </w:numPr>
              <w:tabs>
                <w:tab w:val="left" w:pos="558"/>
              </w:tabs>
              <w:spacing w:after="0"/>
              <w:ind w:left="163" w:right="232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E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Предмет, завдання, значення судової медицини. Історичний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57E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судової медицини.</w:t>
            </w:r>
          </w:p>
          <w:p w:rsidR="00857E9C" w:rsidRDefault="00857E9C" w:rsidP="00FD7B85">
            <w:pPr>
              <w:pStyle w:val="a4"/>
              <w:numPr>
                <w:ilvl w:val="0"/>
                <w:numId w:val="1"/>
              </w:numPr>
              <w:tabs>
                <w:tab w:val="left" w:pos="558"/>
              </w:tabs>
              <w:spacing w:after="0"/>
              <w:ind w:left="163" w:right="232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E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Тілесні ушкодження</w:t>
            </w:r>
          </w:p>
          <w:p w:rsidR="00FE1BDB" w:rsidRPr="00857E9C" w:rsidRDefault="00857E9C" w:rsidP="00FD7B85">
            <w:pPr>
              <w:pStyle w:val="a4"/>
              <w:numPr>
                <w:ilvl w:val="0"/>
                <w:numId w:val="1"/>
              </w:numPr>
              <w:tabs>
                <w:tab w:val="left" w:pos="558"/>
              </w:tabs>
              <w:spacing w:after="0"/>
              <w:ind w:left="163" w:right="232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E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Вмирання і смерть та трупні явища. Механічна асфіксія</w:t>
            </w:r>
          </w:p>
          <w:p w:rsidR="00857E9C" w:rsidRDefault="00857E9C" w:rsidP="00FD7B85">
            <w:pPr>
              <w:pStyle w:val="a4"/>
              <w:numPr>
                <w:ilvl w:val="0"/>
                <w:numId w:val="1"/>
              </w:numPr>
              <w:tabs>
                <w:tab w:val="left" w:pos="558"/>
              </w:tabs>
              <w:spacing w:after="0"/>
              <w:ind w:left="163" w:right="232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E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Експертиза трупа. Експертиза живих осіб</w:t>
            </w:r>
          </w:p>
          <w:p w:rsidR="00FE1BDB" w:rsidRPr="00857E9C" w:rsidRDefault="00857E9C" w:rsidP="00FD7B85">
            <w:pPr>
              <w:pStyle w:val="a4"/>
              <w:numPr>
                <w:ilvl w:val="0"/>
                <w:numId w:val="1"/>
              </w:numPr>
              <w:tabs>
                <w:tab w:val="left" w:pos="558"/>
              </w:tabs>
              <w:spacing w:after="0"/>
              <w:ind w:left="163" w:right="232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E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57E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Дітогубство</w:t>
            </w:r>
            <w:proofErr w:type="spellEnd"/>
          </w:p>
          <w:p w:rsidR="00857E9C" w:rsidRDefault="00857E9C" w:rsidP="00FD7B85">
            <w:pPr>
              <w:pStyle w:val="a4"/>
              <w:numPr>
                <w:ilvl w:val="0"/>
                <w:numId w:val="1"/>
              </w:numPr>
              <w:tabs>
                <w:tab w:val="left" w:pos="558"/>
              </w:tabs>
              <w:spacing w:after="0"/>
              <w:ind w:left="163" w:right="232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E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Правові процесуальні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57E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організаційні основи судово-психіатричної експертизи.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57E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Травми головного мозку</w:t>
            </w:r>
          </w:p>
          <w:p w:rsidR="00265857" w:rsidRDefault="00265857" w:rsidP="00FD7B85">
            <w:pPr>
              <w:pStyle w:val="a4"/>
              <w:numPr>
                <w:ilvl w:val="0"/>
                <w:numId w:val="1"/>
              </w:numPr>
              <w:tabs>
                <w:tab w:val="left" w:pos="558"/>
              </w:tabs>
              <w:spacing w:after="0"/>
              <w:ind w:left="163" w:right="232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огляду і судово-медичного дослідження об’єктів (речових доказів)</w:t>
            </w:r>
          </w:p>
          <w:p w:rsidR="00963FFC" w:rsidRDefault="00963FFC" w:rsidP="00FD7B85">
            <w:pPr>
              <w:pStyle w:val="a4"/>
              <w:numPr>
                <w:ilvl w:val="0"/>
                <w:numId w:val="1"/>
              </w:numPr>
              <w:tabs>
                <w:tab w:val="left" w:pos="558"/>
              </w:tabs>
              <w:spacing w:after="0"/>
              <w:ind w:left="163" w:right="232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3F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Причини виникнення психічних розладів</w:t>
            </w:r>
          </w:p>
          <w:p w:rsidR="00857E9C" w:rsidRPr="00857E9C" w:rsidRDefault="00857E9C" w:rsidP="00FD7B85">
            <w:pPr>
              <w:pStyle w:val="a4"/>
              <w:numPr>
                <w:ilvl w:val="0"/>
                <w:numId w:val="1"/>
              </w:numPr>
              <w:tabs>
                <w:tab w:val="left" w:pos="558"/>
              </w:tabs>
              <w:spacing w:after="0"/>
              <w:ind w:left="163" w:right="232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E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Вчення про психічні захворювання</w:t>
            </w:r>
          </w:p>
          <w:p w:rsidR="00857E9C" w:rsidRPr="00857E9C" w:rsidRDefault="00265857" w:rsidP="00FD7B85">
            <w:pPr>
              <w:tabs>
                <w:tab w:val="left" w:pos="558"/>
              </w:tabs>
              <w:spacing w:after="0"/>
              <w:ind w:left="163" w:right="232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FE1B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857E9C" w:rsidRPr="00857E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Судово-психіатрична експертиза: свідків і потерпілих,</w:t>
            </w:r>
          </w:p>
          <w:p w:rsidR="00265857" w:rsidRDefault="00857E9C" w:rsidP="00FD7B85">
            <w:pPr>
              <w:tabs>
                <w:tab w:val="left" w:pos="558"/>
              </w:tabs>
              <w:spacing w:after="0"/>
              <w:ind w:left="163" w:right="232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7E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неповнолітніх, засуджених</w:t>
            </w:r>
          </w:p>
          <w:p w:rsidR="00FE1BDB" w:rsidRPr="00265857" w:rsidRDefault="00265857" w:rsidP="00FD7B85">
            <w:pPr>
              <w:tabs>
                <w:tab w:val="left" w:pos="558"/>
              </w:tabs>
              <w:spacing w:after="0"/>
              <w:ind w:left="163" w:right="232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11. </w:t>
            </w:r>
            <w:r w:rsidR="00963FFC" w:rsidRPr="0026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Клінічна картина наркоманії</w:t>
            </w:r>
          </w:p>
          <w:p w:rsidR="00265857" w:rsidRPr="00265857" w:rsidRDefault="00265857" w:rsidP="00FD7B85">
            <w:pPr>
              <w:tabs>
                <w:tab w:val="left" w:pos="558"/>
              </w:tabs>
              <w:spacing w:after="0"/>
              <w:ind w:left="163" w:right="232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 Клінічна картина алкоголізму та токсикоманії</w:t>
            </w:r>
          </w:p>
        </w:tc>
      </w:tr>
      <w:tr w:rsidR="00FE1BDB" w:rsidRPr="00FE1BDB" w:rsidTr="00FE1BDB">
        <w:trPr>
          <w:trHeight w:val="1346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1BDB" w:rsidRDefault="00FE1BD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7216" behindDoc="1" locked="0" layoutInCell="1" allowOverlap="1" wp14:anchorId="5ACA6435" wp14:editId="21732B02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Цілі дисципліни</w:t>
            </w:r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hideMark/>
          </w:tcPr>
          <w:p w:rsidR="00FE1BDB" w:rsidRDefault="00FE1BDB" w:rsidP="00FD7B85">
            <w:pPr>
              <w:pStyle w:val="a6"/>
              <w:spacing w:line="240" w:lineRule="auto"/>
              <w:ind w:left="163" w:right="359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у здобувачів вищої освіти </w:t>
            </w:r>
            <w:r w:rsidR="00A24C78" w:rsidRPr="00A24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</w:t>
            </w:r>
            <w:r w:rsidR="00A24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 знань про діяльність судово-</w:t>
            </w:r>
            <w:r w:rsidR="00A24C78" w:rsidRPr="00A24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медичних експертів, при</w:t>
            </w:r>
            <w:r w:rsidR="00883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і проведення ек</w:t>
            </w:r>
            <w:r w:rsidR="00A24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спертиз</w:t>
            </w:r>
            <w:r w:rsidR="00A24C78" w:rsidRPr="00A24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складання висновку експертом.</w:t>
            </w:r>
          </w:p>
        </w:tc>
      </w:tr>
      <w:tr w:rsidR="00FE1BDB" w:rsidRPr="00FE1BDB" w:rsidTr="00FE1BDB">
        <w:trPr>
          <w:trHeight w:val="926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1BDB" w:rsidRDefault="00FE1BD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Компетентності</w:t>
            </w:r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hideMark/>
          </w:tcPr>
          <w:p w:rsidR="00FD7B85" w:rsidRPr="00FD7B85" w:rsidRDefault="00FD7B85" w:rsidP="00FD7B85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163" w:right="145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B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 3.</w:t>
            </w:r>
            <w:r w:rsidRPr="00FD7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Знання та розуміння предметної області та розуміння професійної діяльності.</w:t>
            </w:r>
          </w:p>
          <w:p w:rsidR="00FD7B85" w:rsidRPr="00FD7B85" w:rsidRDefault="00FD7B85" w:rsidP="00FD7B85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163" w:right="145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B85">
              <w:rPr>
                <w:rFonts w:ascii="Times New Roman" w:hAnsi="Times New Roman" w:cs="Times New Roman"/>
                <w:b/>
                <w:sz w:val="24"/>
                <w:szCs w:val="24"/>
              </w:rPr>
              <w:t>СК 7</w:t>
            </w:r>
            <w:r w:rsidRPr="00FD7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з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астосовувати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норми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інститути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 права, 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щонайменше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FD7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таких 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галузей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, як: 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конституційне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 право, </w:t>
            </w:r>
            <w:proofErr w:type="spellStart"/>
            <w:proofErr w:type="gram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іністративне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 право і 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адміністративне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процесуальне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 право, 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цивільне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цивільне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процесуальне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 право, 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трудове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 право,</w:t>
            </w:r>
            <w:r w:rsidRPr="00FD7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кримінальне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кримінальне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процесуальне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  <w:r w:rsidRPr="00FD7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FE1BDB" w:rsidRDefault="00FD7B85" w:rsidP="00FD7B85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163" w:right="145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 </w:t>
            </w:r>
            <w:r w:rsidRPr="00FD7B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Pr="00FD7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Здатність в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изначати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FD7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прийнятні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proofErr w:type="spellEnd"/>
            <w:r w:rsidRPr="00FD7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1BDB" w:rsidRPr="00F81C72" w:rsidTr="00FE1BDB">
        <w:trPr>
          <w:trHeight w:val="1535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1BDB" w:rsidRDefault="00FE1BDB">
            <w:pPr>
              <w:pStyle w:val="a6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06E5344C" wp14:editId="221406ED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1" name="Рисунок 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навчання</w:t>
            </w:r>
            <w:proofErr w:type="spellEnd"/>
          </w:p>
        </w:tc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hideMark/>
          </w:tcPr>
          <w:p w:rsidR="00FE1BDB" w:rsidRDefault="00FE1BDB" w:rsidP="00FD7B85">
            <w:pPr>
              <w:widowControl w:val="0"/>
              <w:autoSpaceDE w:val="0"/>
              <w:autoSpaceDN w:val="0"/>
              <w:spacing w:after="0" w:line="240" w:lineRule="auto"/>
              <w:ind w:left="163" w:right="145"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Після вивчення курсу здатні: </w:t>
            </w:r>
          </w:p>
          <w:p w:rsidR="00FD7B85" w:rsidRPr="00FD7B85" w:rsidRDefault="00FD7B85" w:rsidP="00FD7B85">
            <w:pPr>
              <w:widowControl w:val="0"/>
              <w:autoSpaceDE w:val="0"/>
              <w:autoSpaceDN w:val="0"/>
              <w:spacing w:after="0" w:line="240" w:lineRule="auto"/>
              <w:ind w:left="163" w:right="145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 5. Давати короткий правовий висновок щодо окремих фактичних обставин з достатньою обґрунтованістю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D7B85" w:rsidRPr="00FD7B85" w:rsidRDefault="00FD7B85" w:rsidP="00FD7B85">
            <w:pPr>
              <w:widowControl w:val="0"/>
              <w:autoSpaceDE w:val="0"/>
              <w:autoSpaceDN w:val="0"/>
              <w:spacing w:after="0" w:line="240" w:lineRule="auto"/>
              <w:ind w:left="163" w:right="145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 13. Знати та розуміти особливості реалізації та застосування норм матеріального і процесуального права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D7B85" w:rsidRPr="00FD7B85" w:rsidRDefault="00FD7B85" w:rsidP="00FD7B85">
            <w:pPr>
              <w:widowControl w:val="0"/>
              <w:autoSpaceDE w:val="0"/>
              <w:autoSpaceDN w:val="0"/>
              <w:spacing w:after="0" w:line="240" w:lineRule="auto"/>
              <w:ind w:left="163" w:right="145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 19. Пояснювати природу та зміст основних правових явищ і процесів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D7B85" w:rsidRPr="00FD7B85" w:rsidRDefault="00FD7B85" w:rsidP="00FD7B85">
            <w:pPr>
              <w:widowControl w:val="0"/>
              <w:autoSpaceDE w:val="0"/>
              <w:autoSpaceDN w:val="0"/>
              <w:spacing w:after="0" w:line="240" w:lineRule="auto"/>
              <w:ind w:left="163" w:right="145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7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РН 20. Виокремлювати і аналізувати юридично значущі факти і робити обґрунтовані правові висновки.</w:t>
            </w:r>
          </w:p>
          <w:p w:rsidR="00FE1BDB" w:rsidRDefault="00FE1BDB" w:rsidP="00FD7B85">
            <w:pPr>
              <w:widowControl w:val="0"/>
              <w:autoSpaceDE w:val="0"/>
              <w:autoSpaceDN w:val="0"/>
              <w:spacing w:after="0" w:line="240" w:lineRule="auto"/>
              <w:ind w:left="163" w:right="145" w:firstLine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E1BDB" w:rsidRPr="00F81C72" w:rsidTr="00FE1BDB">
        <w:trPr>
          <w:trHeight w:val="964"/>
        </w:trPr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FE1BDB" w:rsidRDefault="00FE1BDB">
            <w:pPr>
              <w:pStyle w:val="a6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  <w:proofErr w:type="spellEnd"/>
          </w:p>
          <w:p w:rsidR="00FE1BDB" w:rsidRDefault="00FE1BDB">
            <w:pPr>
              <w:pStyle w:val="a6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  <w:proofErr w:type="spellEnd"/>
          </w:p>
        </w:tc>
        <w:bookmarkStart w:id="0" w:name="_GoBack"/>
        <w:tc>
          <w:tcPr>
            <w:tcW w:w="0" w:type="auto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vAlign w:val="center"/>
            <w:hideMark/>
          </w:tcPr>
          <w:p w:rsidR="00EA3FE7" w:rsidRPr="009107C1" w:rsidRDefault="009107C1" w:rsidP="00FD7B85">
            <w:pPr>
              <w:pStyle w:val="TableParagraph"/>
              <w:spacing w:after="0"/>
              <w:ind w:left="163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9107C1">
              <w:fldChar w:fldCharType="begin"/>
            </w:r>
            <w:r w:rsidRPr="009107C1">
              <w:instrText xml:space="preserve"> HYPERLINK "https://eln.stu.cn.ua/enrol/index.php?id=6896" </w:instrText>
            </w:r>
            <w:r w:rsidRPr="009107C1">
              <w:fldChar w:fldCharType="separate"/>
            </w:r>
            <w:r w:rsidR="00EA3FE7" w:rsidRPr="009107C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https://eln.stu.cn.ua/enrol/index.php?id=6896</w:t>
            </w:r>
            <w:r w:rsidRPr="009107C1"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FE1BDB" w:rsidRDefault="00FE1BDB" w:rsidP="00FE1B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p w:rsidR="00FE1BDB" w:rsidRDefault="00FE1BDB" w:rsidP="00FE1BDB">
      <w:pPr>
        <w:rPr>
          <w:lang w:val="uk-UA"/>
        </w:rPr>
      </w:pPr>
    </w:p>
    <w:p w:rsidR="00FE1BDB" w:rsidRDefault="00FE1BDB" w:rsidP="00FE1BDB">
      <w:pPr>
        <w:rPr>
          <w:lang w:val="uk-UA"/>
        </w:rPr>
      </w:pPr>
    </w:p>
    <w:p w:rsidR="004D7EEB" w:rsidRPr="00FE1BDB" w:rsidRDefault="004D7EEB">
      <w:pPr>
        <w:rPr>
          <w:lang w:val="uk-UA"/>
        </w:rPr>
      </w:pPr>
    </w:p>
    <w:sectPr w:rsidR="004D7EEB" w:rsidRPr="00FE1B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A35F7"/>
    <w:multiLevelType w:val="hybridMultilevel"/>
    <w:tmpl w:val="12663E40"/>
    <w:lvl w:ilvl="0" w:tplc="42482134">
      <w:start w:val="1"/>
      <w:numFmt w:val="decimal"/>
      <w:lvlText w:val="%1."/>
      <w:lvlJc w:val="left"/>
      <w:pPr>
        <w:ind w:left="596" w:hanging="360"/>
      </w:pPr>
    </w:lvl>
    <w:lvl w:ilvl="1" w:tplc="04090019">
      <w:start w:val="1"/>
      <w:numFmt w:val="lowerLetter"/>
      <w:lvlText w:val="%2."/>
      <w:lvlJc w:val="left"/>
      <w:pPr>
        <w:ind w:left="1316" w:hanging="360"/>
      </w:pPr>
    </w:lvl>
    <w:lvl w:ilvl="2" w:tplc="0409001B">
      <w:start w:val="1"/>
      <w:numFmt w:val="lowerRoman"/>
      <w:lvlText w:val="%3."/>
      <w:lvlJc w:val="right"/>
      <w:pPr>
        <w:ind w:left="2036" w:hanging="180"/>
      </w:pPr>
    </w:lvl>
    <w:lvl w:ilvl="3" w:tplc="0409000F">
      <w:start w:val="1"/>
      <w:numFmt w:val="decimal"/>
      <w:lvlText w:val="%4."/>
      <w:lvlJc w:val="left"/>
      <w:pPr>
        <w:ind w:left="2756" w:hanging="360"/>
      </w:pPr>
    </w:lvl>
    <w:lvl w:ilvl="4" w:tplc="04090019">
      <w:start w:val="1"/>
      <w:numFmt w:val="lowerLetter"/>
      <w:lvlText w:val="%5."/>
      <w:lvlJc w:val="left"/>
      <w:pPr>
        <w:ind w:left="3476" w:hanging="360"/>
      </w:pPr>
    </w:lvl>
    <w:lvl w:ilvl="5" w:tplc="0409001B">
      <w:start w:val="1"/>
      <w:numFmt w:val="lowerRoman"/>
      <w:lvlText w:val="%6."/>
      <w:lvlJc w:val="right"/>
      <w:pPr>
        <w:ind w:left="4196" w:hanging="180"/>
      </w:pPr>
    </w:lvl>
    <w:lvl w:ilvl="6" w:tplc="0409000F">
      <w:start w:val="1"/>
      <w:numFmt w:val="decimal"/>
      <w:lvlText w:val="%7."/>
      <w:lvlJc w:val="left"/>
      <w:pPr>
        <w:ind w:left="4916" w:hanging="360"/>
      </w:pPr>
    </w:lvl>
    <w:lvl w:ilvl="7" w:tplc="04090019">
      <w:start w:val="1"/>
      <w:numFmt w:val="lowerLetter"/>
      <w:lvlText w:val="%8."/>
      <w:lvlJc w:val="left"/>
      <w:pPr>
        <w:ind w:left="5636" w:hanging="360"/>
      </w:pPr>
    </w:lvl>
    <w:lvl w:ilvl="8" w:tplc="0409001B">
      <w:start w:val="1"/>
      <w:numFmt w:val="lowerRoman"/>
      <w:lvlText w:val="%9."/>
      <w:lvlJc w:val="right"/>
      <w:pPr>
        <w:ind w:left="635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DB"/>
    <w:rsid w:val="0000741E"/>
    <w:rsid w:val="00234F10"/>
    <w:rsid w:val="00265857"/>
    <w:rsid w:val="004D7EEB"/>
    <w:rsid w:val="00506927"/>
    <w:rsid w:val="00857E9C"/>
    <w:rsid w:val="00883840"/>
    <w:rsid w:val="009107C1"/>
    <w:rsid w:val="009351DC"/>
    <w:rsid w:val="00963FFC"/>
    <w:rsid w:val="009B4D18"/>
    <w:rsid w:val="00A24C78"/>
    <w:rsid w:val="00B06991"/>
    <w:rsid w:val="00B97660"/>
    <w:rsid w:val="00C93B30"/>
    <w:rsid w:val="00D533D1"/>
    <w:rsid w:val="00E359FC"/>
    <w:rsid w:val="00EA3FE7"/>
    <w:rsid w:val="00F81C72"/>
    <w:rsid w:val="00F90765"/>
    <w:rsid w:val="00FC3FE0"/>
    <w:rsid w:val="00FD7B85"/>
    <w:rsid w:val="00F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DB"/>
    <w:pPr>
      <w:spacing w:line="252" w:lineRule="auto"/>
    </w:pPr>
    <w:rPr>
      <w:rFonts w:eastAsiaTheme="minorEastAsia"/>
      <w:lang w:val="ru-RU" w:eastAsia="ru-RU"/>
    </w:rPr>
  </w:style>
  <w:style w:type="paragraph" w:styleId="2">
    <w:name w:val="heading 2"/>
    <w:basedOn w:val="3"/>
    <w:next w:val="a"/>
    <w:link w:val="20"/>
    <w:semiHidden/>
    <w:unhideWhenUsed/>
    <w:qFormat/>
    <w:rsid w:val="00FE1BDB"/>
    <w:pPr>
      <w:suppressAutoHyphens/>
      <w:spacing w:before="120" w:after="120" w:line="360" w:lineRule="auto"/>
      <w:outlineLvl w:val="1"/>
    </w:pPr>
    <w:rPr>
      <w:rFonts w:ascii="Times New Roman" w:eastAsiaTheme="minorEastAsia" w:hAnsi="Times New Roman" w:cs="Times New Roman"/>
      <w:b/>
      <w:color w:val="auto"/>
      <w:sz w:val="22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B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E1BDB"/>
    <w:rPr>
      <w:rFonts w:ascii="Times New Roman" w:eastAsiaTheme="minorEastAsia" w:hAnsi="Times New Roman" w:cs="Times New Roman"/>
      <w:b/>
      <w:szCs w:val="20"/>
      <w:lang w:val="ru-RU" w:eastAsia="uk-UA"/>
    </w:rPr>
  </w:style>
  <w:style w:type="character" w:styleId="a3">
    <w:name w:val="Hyperlink"/>
    <w:basedOn w:val="a0"/>
    <w:uiPriority w:val="99"/>
    <w:unhideWhenUsed/>
    <w:rsid w:val="00FE1B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1BD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E1BDB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5">
    <w:name w:val="Другое_"/>
    <w:basedOn w:val="a0"/>
    <w:link w:val="a6"/>
    <w:locked/>
    <w:rsid w:val="00FE1BDB"/>
    <w:rPr>
      <w:rFonts w:ascii="Calibri" w:eastAsia="Calibri" w:hAnsi="Calibri" w:cs="Calibri"/>
    </w:rPr>
  </w:style>
  <w:style w:type="paragraph" w:customStyle="1" w:styleId="a6">
    <w:name w:val="Другое"/>
    <w:basedOn w:val="a"/>
    <w:link w:val="a5"/>
    <w:rsid w:val="00FE1BDB"/>
    <w:pPr>
      <w:widowControl w:val="0"/>
      <w:spacing w:line="276" w:lineRule="auto"/>
    </w:pPr>
    <w:rPr>
      <w:rFonts w:ascii="Calibri" w:eastAsia="Calibri" w:hAnsi="Calibri" w:cs="Calibri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E1B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styleId="a7">
    <w:name w:val="FollowedHyperlink"/>
    <w:basedOn w:val="a0"/>
    <w:uiPriority w:val="99"/>
    <w:semiHidden/>
    <w:unhideWhenUsed/>
    <w:rsid w:val="00FD7B8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DB"/>
    <w:pPr>
      <w:spacing w:line="252" w:lineRule="auto"/>
    </w:pPr>
    <w:rPr>
      <w:rFonts w:eastAsiaTheme="minorEastAsia"/>
      <w:lang w:val="ru-RU" w:eastAsia="ru-RU"/>
    </w:rPr>
  </w:style>
  <w:style w:type="paragraph" w:styleId="2">
    <w:name w:val="heading 2"/>
    <w:basedOn w:val="3"/>
    <w:next w:val="a"/>
    <w:link w:val="20"/>
    <w:semiHidden/>
    <w:unhideWhenUsed/>
    <w:qFormat/>
    <w:rsid w:val="00FE1BDB"/>
    <w:pPr>
      <w:suppressAutoHyphens/>
      <w:spacing w:before="120" w:after="120" w:line="360" w:lineRule="auto"/>
      <w:outlineLvl w:val="1"/>
    </w:pPr>
    <w:rPr>
      <w:rFonts w:ascii="Times New Roman" w:eastAsiaTheme="minorEastAsia" w:hAnsi="Times New Roman" w:cs="Times New Roman"/>
      <w:b/>
      <w:color w:val="auto"/>
      <w:sz w:val="22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B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E1BDB"/>
    <w:rPr>
      <w:rFonts w:ascii="Times New Roman" w:eastAsiaTheme="minorEastAsia" w:hAnsi="Times New Roman" w:cs="Times New Roman"/>
      <w:b/>
      <w:szCs w:val="20"/>
      <w:lang w:val="ru-RU" w:eastAsia="uk-UA"/>
    </w:rPr>
  </w:style>
  <w:style w:type="character" w:styleId="a3">
    <w:name w:val="Hyperlink"/>
    <w:basedOn w:val="a0"/>
    <w:uiPriority w:val="99"/>
    <w:unhideWhenUsed/>
    <w:rsid w:val="00FE1B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1BD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E1BDB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5">
    <w:name w:val="Другое_"/>
    <w:basedOn w:val="a0"/>
    <w:link w:val="a6"/>
    <w:locked/>
    <w:rsid w:val="00FE1BDB"/>
    <w:rPr>
      <w:rFonts w:ascii="Calibri" w:eastAsia="Calibri" w:hAnsi="Calibri" w:cs="Calibri"/>
    </w:rPr>
  </w:style>
  <w:style w:type="paragraph" w:customStyle="1" w:styleId="a6">
    <w:name w:val="Другое"/>
    <w:basedOn w:val="a"/>
    <w:link w:val="a5"/>
    <w:rsid w:val="00FE1BDB"/>
    <w:pPr>
      <w:widowControl w:val="0"/>
      <w:spacing w:line="276" w:lineRule="auto"/>
    </w:pPr>
    <w:rPr>
      <w:rFonts w:ascii="Calibri" w:eastAsia="Calibri" w:hAnsi="Calibri" w:cs="Calibri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E1B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styleId="a7">
    <w:name w:val="FollowedHyperlink"/>
    <w:basedOn w:val="a0"/>
    <w:uiPriority w:val="99"/>
    <w:semiHidden/>
    <w:unhideWhenUsed/>
    <w:rsid w:val="00FD7B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User402</cp:lastModifiedBy>
  <cp:revision>11</cp:revision>
  <dcterms:created xsi:type="dcterms:W3CDTF">2025-08-31T12:06:00Z</dcterms:created>
  <dcterms:modified xsi:type="dcterms:W3CDTF">2025-11-04T11:11:00Z</dcterms:modified>
</cp:coreProperties>
</file>