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FE3771" w:rsidRDefault="00FE3771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СИЛАБУС</w:t>
      </w:r>
    </w:p>
    <w:p w:rsidR="006F4137" w:rsidRDefault="00EB0B1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Кафедра </w:t>
      </w:r>
      <w:r w:rsidR="006F4137">
        <w:rPr>
          <w:rFonts w:ascii="Times New Roman" w:hAnsi="Times New Roman"/>
          <w:b/>
          <w:bCs/>
          <w:sz w:val="28"/>
          <w:szCs w:val="28"/>
          <w:lang w:val="uk-UA" w:eastAsia="ru-RU"/>
        </w:rPr>
        <w:t>к</w:t>
      </w:r>
      <w:r w:rsidR="006F4137" w:rsidRPr="006F4137">
        <w:rPr>
          <w:rFonts w:ascii="Times New Roman" w:hAnsi="Times New Roman"/>
          <w:b/>
          <w:bCs/>
          <w:sz w:val="28"/>
          <w:szCs w:val="28"/>
          <w:lang w:val="uk-UA" w:eastAsia="ru-RU"/>
        </w:rPr>
        <w:t>римінального права та правосуддя</w:t>
      </w:r>
    </w:p>
    <w:p w:rsidR="00653048" w:rsidRDefault="00653048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10306" w:type="dxa"/>
        <w:tblInd w:w="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6"/>
        <w:gridCol w:w="6900"/>
      </w:tblGrid>
      <w:tr w:rsidR="00653048" w:rsidRPr="00653048" w:rsidTr="003A1A00">
        <w:trPr>
          <w:trHeight w:val="565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048" w:rsidRPr="00653048" w:rsidRDefault="00653048" w:rsidP="006530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</w:pPr>
            <w:r w:rsidRPr="00653048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  <w:t>Назва курсу</w:t>
            </w:r>
          </w:p>
        </w:tc>
        <w:tc>
          <w:tcPr>
            <w:tcW w:w="6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53048" w:rsidRPr="006F4137" w:rsidRDefault="00653048" w:rsidP="00E807F5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Порівняльне кримінально-виконавче право</w:t>
            </w:r>
          </w:p>
        </w:tc>
      </w:tr>
      <w:tr w:rsidR="00653048" w:rsidRPr="00653048" w:rsidTr="00B125E6">
        <w:trPr>
          <w:trHeight w:val="207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048" w:rsidRPr="00653048" w:rsidRDefault="00653048" w:rsidP="006530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</w:pPr>
            <w:r w:rsidRPr="00653048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  <w:t>Мова викладання</w:t>
            </w:r>
          </w:p>
        </w:tc>
        <w:tc>
          <w:tcPr>
            <w:tcW w:w="6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048" w:rsidRPr="00653048" w:rsidRDefault="00653048" w:rsidP="0065304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uk-UA"/>
              </w:rPr>
            </w:pPr>
            <w:r w:rsidRPr="00653048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uk-UA"/>
              </w:rPr>
              <w:t>Українська</w:t>
            </w:r>
          </w:p>
        </w:tc>
      </w:tr>
      <w:tr w:rsidR="00653048" w:rsidRPr="00653048" w:rsidTr="00B125E6">
        <w:trPr>
          <w:trHeight w:val="291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048" w:rsidRPr="00653048" w:rsidRDefault="00653048" w:rsidP="0065304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</w:pPr>
            <w:r w:rsidRPr="00653048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  <w:t>Викладач (-і)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048" w:rsidRPr="00653048" w:rsidRDefault="00653048" w:rsidP="0065304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uk-UA" w:eastAsia="ru-RU"/>
              </w:rPr>
              <w:t>Іваньков</w:t>
            </w:r>
            <w:proofErr w:type="spellEnd"/>
            <w:r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uk-UA" w:eastAsia="ru-RU"/>
              </w:rPr>
              <w:t xml:space="preserve"> Ігор Володимирович, </w:t>
            </w:r>
            <w:proofErr w:type="spellStart"/>
            <w:r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uk-UA"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uk-UA" w:eastAsia="ru-RU"/>
              </w:rPr>
              <w:t>., доцент</w:t>
            </w:r>
          </w:p>
        </w:tc>
      </w:tr>
      <w:tr w:rsidR="00653048" w:rsidRPr="00FE3771" w:rsidTr="00B125E6">
        <w:trPr>
          <w:trHeight w:val="288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048" w:rsidRPr="00653048" w:rsidRDefault="00653048" w:rsidP="0065304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</w:pPr>
            <w:proofErr w:type="spellStart"/>
            <w:r w:rsidRPr="00653048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  <w:t>Профайл</w:t>
            </w:r>
            <w:proofErr w:type="spellEnd"/>
            <w:r w:rsidRPr="00653048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  <w:t xml:space="preserve"> викладача (-</w:t>
            </w:r>
            <w:proofErr w:type="spellStart"/>
            <w:r w:rsidRPr="00653048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  <w:t>ів</w:t>
            </w:r>
            <w:proofErr w:type="spellEnd"/>
            <w:r w:rsidRPr="00653048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048" w:rsidRPr="00653048" w:rsidRDefault="00653048" w:rsidP="0065304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>https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uk-UA"/>
              </w:rPr>
              <w:t>rim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>stu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>cn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>ua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/</w:t>
            </w:r>
          </w:p>
        </w:tc>
      </w:tr>
      <w:tr w:rsidR="00653048" w:rsidRPr="00653048" w:rsidTr="00B125E6">
        <w:trPr>
          <w:trHeight w:val="48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048" w:rsidRPr="00653048" w:rsidRDefault="00653048" w:rsidP="0065304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</w:pPr>
            <w:r w:rsidRPr="00653048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  <w:t>Контакти викладача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048" w:rsidRPr="00653048" w:rsidRDefault="00EF4A03" w:rsidP="0065304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uk-UA"/>
              </w:rPr>
            </w:pPr>
            <w:hyperlink r:id="rId5" w:history="1">
              <w:r w:rsidR="00653048" w:rsidRPr="006F4137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igor_ivankov@ukr.net</w:t>
              </w:r>
            </w:hyperlink>
            <w:r w:rsidR="00653048" w:rsidRPr="006F413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+38</w:t>
            </w:r>
            <w:r w:rsidR="0065304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r w:rsidR="00653048" w:rsidRPr="006F4137">
              <w:rPr>
                <w:rFonts w:ascii="Times New Roman" w:hAnsi="Times New Roman"/>
                <w:sz w:val="28"/>
                <w:szCs w:val="28"/>
                <w:lang w:val="uk-UA" w:eastAsia="ru-RU"/>
              </w:rPr>
              <w:t>050</w:t>
            </w:r>
            <w:r w:rsidR="0065304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) </w:t>
            </w:r>
            <w:r w:rsidR="00653048" w:rsidRPr="006F4137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50591256</w:t>
            </w:r>
          </w:p>
        </w:tc>
      </w:tr>
      <w:tr w:rsidR="00653048" w:rsidRPr="00FE3771" w:rsidTr="00B125E6">
        <w:trPr>
          <w:trHeight w:val="175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048" w:rsidRPr="00653048" w:rsidRDefault="00653048" w:rsidP="006530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</w:pPr>
            <w:r w:rsidRPr="00653048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uk-UA"/>
              </w:rPr>
              <w:t xml:space="preserve">Сторінка курсу в </w:t>
            </w:r>
            <w:r w:rsidRPr="00653048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en-US" w:eastAsia="uk-UA"/>
              </w:rPr>
              <w:t>MOODLE</w:t>
            </w:r>
          </w:p>
        </w:tc>
        <w:tc>
          <w:tcPr>
            <w:tcW w:w="6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048" w:rsidRPr="00FE3771" w:rsidRDefault="00EF4A03" w:rsidP="0065304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uk-UA"/>
              </w:rPr>
            </w:pPr>
            <w:hyperlink r:id="rId6" w:history="1">
              <w:r w:rsidR="00FE3771" w:rsidRPr="0006000E">
                <w:rPr>
                  <w:rStyle w:val="a3"/>
                </w:rPr>
                <w:t>https</w:t>
              </w:r>
              <w:r w:rsidR="00FE3771" w:rsidRPr="0006000E">
                <w:rPr>
                  <w:rStyle w:val="a3"/>
                  <w:lang w:val="uk-UA"/>
                </w:rPr>
                <w:t>://</w:t>
              </w:r>
              <w:r w:rsidR="00FE3771" w:rsidRPr="0006000E">
                <w:rPr>
                  <w:rStyle w:val="a3"/>
                </w:rPr>
                <w:t>eln</w:t>
              </w:r>
              <w:r w:rsidR="00FE3771" w:rsidRPr="0006000E">
                <w:rPr>
                  <w:rStyle w:val="a3"/>
                  <w:lang w:val="uk-UA"/>
                </w:rPr>
                <w:t>.</w:t>
              </w:r>
              <w:r w:rsidR="00FE3771" w:rsidRPr="0006000E">
                <w:rPr>
                  <w:rStyle w:val="a3"/>
                </w:rPr>
                <w:t>stu</w:t>
              </w:r>
              <w:r w:rsidR="00FE3771" w:rsidRPr="0006000E">
                <w:rPr>
                  <w:rStyle w:val="a3"/>
                  <w:lang w:val="uk-UA"/>
                </w:rPr>
                <w:t>.</w:t>
              </w:r>
              <w:r w:rsidR="00FE3771" w:rsidRPr="0006000E">
                <w:rPr>
                  <w:rStyle w:val="a3"/>
                </w:rPr>
                <w:t>cn</w:t>
              </w:r>
              <w:r w:rsidR="00FE3771" w:rsidRPr="0006000E">
                <w:rPr>
                  <w:rStyle w:val="a3"/>
                  <w:lang w:val="uk-UA"/>
                </w:rPr>
                <w:t>.</w:t>
              </w:r>
              <w:r w:rsidR="00FE3771" w:rsidRPr="0006000E">
                <w:rPr>
                  <w:rStyle w:val="a3"/>
                </w:rPr>
                <w:t>ua</w:t>
              </w:r>
              <w:r w:rsidR="00FE3771" w:rsidRPr="0006000E">
                <w:rPr>
                  <w:rStyle w:val="a3"/>
                  <w:lang w:val="uk-UA"/>
                </w:rPr>
                <w:t>/</w:t>
              </w:r>
              <w:r w:rsidR="00FE3771" w:rsidRPr="0006000E">
                <w:rPr>
                  <w:rStyle w:val="a3"/>
                </w:rPr>
                <w:t>course</w:t>
              </w:r>
              <w:r w:rsidR="00FE3771" w:rsidRPr="0006000E">
                <w:rPr>
                  <w:rStyle w:val="a3"/>
                  <w:lang w:val="uk-UA"/>
                </w:rPr>
                <w:t>/</w:t>
              </w:r>
              <w:r w:rsidR="00FE3771" w:rsidRPr="0006000E">
                <w:rPr>
                  <w:rStyle w:val="a3"/>
                </w:rPr>
                <w:t>edit</w:t>
              </w:r>
              <w:r w:rsidR="00FE3771" w:rsidRPr="0006000E">
                <w:rPr>
                  <w:rStyle w:val="a3"/>
                  <w:lang w:val="uk-UA"/>
                </w:rPr>
                <w:t>.</w:t>
              </w:r>
              <w:r w:rsidR="00FE3771" w:rsidRPr="0006000E">
                <w:rPr>
                  <w:rStyle w:val="a3"/>
                </w:rPr>
                <w:t>php</w:t>
              </w:r>
              <w:r w:rsidR="00FE3771" w:rsidRPr="0006000E">
                <w:rPr>
                  <w:rStyle w:val="a3"/>
                  <w:lang w:val="uk-UA"/>
                </w:rPr>
                <w:t>?</w:t>
              </w:r>
              <w:r w:rsidR="00FE3771" w:rsidRPr="0006000E">
                <w:rPr>
                  <w:rStyle w:val="a3"/>
                </w:rPr>
                <w:t>category</w:t>
              </w:r>
              <w:r w:rsidR="00FE3771" w:rsidRPr="0006000E">
                <w:rPr>
                  <w:rStyle w:val="a3"/>
                  <w:lang w:val="uk-UA"/>
                </w:rPr>
                <w:t>=223&amp;</w:t>
              </w:r>
              <w:r w:rsidR="00FE3771" w:rsidRPr="0006000E">
                <w:rPr>
                  <w:rStyle w:val="a3"/>
                </w:rPr>
                <w:t>amp</w:t>
              </w:r>
              <w:r w:rsidR="00FE3771" w:rsidRPr="0006000E">
                <w:rPr>
                  <w:rStyle w:val="a3"/>
                  <w:lang w:val="uk-UA"/>
                </w:rPr>
                <w:t>;</w:t>
              </w:r>
              <w:r w:rsidR="00FE3771" w:rsidRPr="0006000E">
                <w:rPr>
                  <w:rStyle w:val="a3"/>
                </w:rPr>
                <w:t>returnto</w:t>
              </w:r>
              <w:r w:rsidR="00FE3771" w:rsidRPr="0006000E">
                <w:rPr>
                  <w:rStyle w:val="a3"/>
                  <w:lang w:val="uk-UA"/>
                </w:rPr>
                <w:t>=</w:t>
              </w:r>
              <w:r w:rsidR="00FE3771" w:rsidRPr="0006000E">
                <w:rPr>
                  <w:rStyle w:val="a3"/>
                </w:rPr>
                <w:t>category</w:t>
              </w:r>
            </w:hyperlink>
            <w:r w:rsidR="00FE3771">
              <w:rPr>
                <w:lang w:val="uk-UA"/>
              </w:rPr>
              <w:t xml:space="preserve"> </w:t>
            </w:r>
          </w:p>
        </w:tc>
      </w:tr>
    </w:tbl>
    <w:p w:rsidR="00EB0B15" w:rsidRDefault="00EB0B15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B0B15" w:rsidRDefault="00EB0B15">
      <w:pPr>
        <w:pStyle w:val="17"/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b/>
          <w:bCs/>
          <w:szCs w:val="28"/>
          <w:u w:val="single"/>
          <w:lang w:val="uk-UA"/>
        </w:rPr>
        <w:t>Анотація курсу</w:t>
      </w:r>
    </w:p>
    <w:p w:rsidR="00EB0B15" w:rsidRDefault="00EB0B15">
      <w:pPr>
        <w:pStyle w:val="17"/>
        <w:ind w:left="0" w:firstLine="927"/>
        <w:jc w:val="both"/>
        <w:rPr>
          <w:szCs w:val="28"/>
          <w:lang w:val="uk-UA"/>
        </w:rPr>
      </w:pPr>
    </w:p>
    <w:p w:rsidR="006F4137" w:rsidRPr="006F4137" w:rsidRDefault="006F4137" w:rsidP="005F6173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F4137">
        <w:rPr>
          <w:rFonts w:ascii="Times New Roman" w:hAnsi="Times New Roman"/>
          <w:sz w:val="28"/>
          <w:szCs w:val="28"/>
          <w:lang w:val="uk-UA"/>
        </w:rPr>
        <w:t xml:space="preserve">Введення даної дисципліни в навчальний процес є актуальним та необхідним, оскільки </w:t>
      </w:r>
      <w:r w:rsidR="005F6173">
        <w:rPr>
          <w:rFonts w:ascii="Times New Roman" w:hAnsi="Times New Roman"/>
          <w:sz w:val="28"/>
          <w:szCs w:val="28"/>
          <w:lang w:val="uk-UA"/>
        </w:rPr>
        <w:t xml:space="preserve">вона  є складовою </w:t>
      </w:r>
      <w:r w:rsidR="005F6173" w:rsidRPr="005F6173">
        <w:rPr>
          <w:rFonts w:ascii="Times New Roman" w:hAnsi="Times New Roman"/>
          <w:sz w:val="28"/>
          <w:szCs w:val="28"/>
          <w:lang w:val="uk-UA"/>
        </w:rPr>
        <w:t xml:space="preserve">науки кримінально-виконавчого права, що ознайомлює з кримінально- виконавчим законодавством зарубіжних країн і практикою його застосування, специфікою правового регулювання кримінально-виконавчих відносин міжнародними спеціалізованими організаціями та імплементацією найбільш прогресивних положень до кримінально-виконавчого законодавства України. </w:t>
      </w:r>
      <w:r w:rsidR="005F6173">
        <w:rPr>
          <w:rFonts w:ascii="Times New Roman" w:hAnsi="Times New Roman"/>
          <w:sz w:val="28"/>
          <w:szCs w:val="28"/>
          <w:lang w:val="uk-UA"/>
        </w:rPr>
        <w:t>Кримінально-виконавче право виконує функцію боротьби</w:t>
      </w:r>
      <w:r w:rsidR="005F6173" w:rsidRPr="005F61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173">
        <w:rPr>
          <w:rFonts w:ascii="Times New Roman" w:hAnsi="Times New Roman"/>
          <w:sz w:val="28"/>
          <w:szCs w:val="28"/>
          <w:lang w:val="uk-UA"/>
        </w:rPr>
        <w:t>зі злочинністю, ефективна</w:t>
      </w:r>
      <w:r w:rsidR="005F6173" w:rsidRPr="006F41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173">
        <w:rPr>
          <w:rFonts w:ascii="Times New Roman" w:hAnsi="Times New Roman"/>
          <w:sz w:val="28"/>
          <w:szCs w:val="28"/>
          <w:lang w:val="uk-UA"/>
        </w:rPr>
        <w:t>реалізація якої неможлива без активної законотворчості з урахуванням вимог і рекомендацій міжнародних стандартів щодо поводження із засудженими та ув’язненими і захисту їх прав та законних інтересів, а також міжнародного пенітенціарного досвіду.</w:t>
      </w:r>
    </w:p>
    <w:p w:rsidR="006F4137" w:rsidRPr="006F4137" w:rsidRDefault="006F4137" w:rsidP="005F6173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4137">
        <w:rPr>
          <w:rFonts w:ascii="Times New Roman" w:hAnsi="Times New Roman"/>
          <w:sz w:val="28"/>
          <w:szCs w:val="28"/>
          <w:lang w:val="uk-UA"/>
        </w:rPr>
        <w:t xml:space="preserve">Останнім часом у юридичній літературі вчені все частіше вказують на нагальну потребу </w:t>
      </w:r>
      <w:r w:rsidR="005F6173">
        <w:rPr>
          <w:rFonts w:ascii="Times New Roman" w:hAnsi="Times New Roman"/>
          <w:sz w:val="28"/>
          <w:szCs w:val="28"/>
          <w:lang w:val="uk-UA"/>
        </w:rPr>
        <w:t xml:space="preserve">подальшого реформування національної кримінально-виконавчої системи саме на засадах позитивного світового досвіду з урахуванням новітніх вимог міжнародних нормативно правових актів, зокрема оновлених Мінімальних стандартних правил ООН поводження із засудженими 2015 р. (правил </w:t>
      </w:r>
      <w:proofErr w:type="spellStart"/>
      <w:r w:rsidR="005F6173">
        <w:rPr>
          <w:rFonts w:ascii="Times New Roman" w:hAnsi="Times New Roman"/>
          <w:sz w:val="28"/>
          <w:szCs w:val="28"/>
          <w:lang w:val="uk-UA"/>
        </w:rPr>
        <w:t>Мандели</w:t>
      </w:r>
      <w:proofErr w:type="spellEnd"/>
      <w:r w:rsidR="005F6173">
        <w:rPr>
          <w:rFonts w:ascii="Times New Roman" w:hAnsi="Times New Roman"/>
          <w:sz w:val="28"/>
          <w:szCs w:val="28"/>
          <w:lang w:val="uk-UA"/>
        </w:rPr>
        <w:t xml:space="preserve">) та Європейських пенітенціарних правил у редакції 2020 р. </w:t>
      </w:r>
      <w:r w:rsidRPr="006F4137">
        <w:rPr>
          <w:rFonts w:ascii="Times New Roman" w:hAnsi="Times New Roman"/>
          <w:sz w:val="28"/>
          <w:szCs w:val="28"/>
          <w:lang w:val="uk-UA"/>
        </w:rPr>
        <w:t>розробки теорії нормотворчості і правозастосування. Якщо реалізація юридичних норм, досягнення зазначених у них цілей — це одна з найважливіших сторін життя права, то нормотворчість, встановлення юридичних норм за допомогою видання нормативно-правових актів — інша, не менш важлива сторона, що передує реалізації юридичних норм.</w:t>
      </w:r>
    </w:p>
    <w:p w:rsidR="00EB0B15" w:rsidRDefault="00EB0B15" w:rsidP="005F6173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навчальної дисципліни </w:t>
      </w:r>
      <w:r w:rsidR="005F6173" w:rsidRPr="005F6173">
        <w:rPr>
          <w:rFonts w:ascii="Times New Roman" w:hAnsi="Times New Roman"/>
          <w:b/>
          <w:i/>
          <w:sz w:val="28"/>
          <w:szCs w:val="28"/>
          <w:lang w:val="uk-UA"/>
        </w:rPr>
        <w:t>«Порівняльне кримінально-виконавче право»</w:t>
      </w:r>
      <w:r w:rsidR="005F6173" w:rsidRPr="006F41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складається з </w:t>
      </w:r>
      <w:r w:rsidR="006F4137">
        <w:rPr>
          <w:rFonts w:ascii="Times New Roman" w:hAnsi="Times New Roman"/>
          <w:sz w:val="28"/>
          <w:szCs w:val="28"/>
          <w:lang w:val="uk-UA"/>
        </w:rPr>
        <w:t>двох</w:t>
      </w:r>
      <w:r>
        <w:rPr>
          <w:rFonts w:ascii="Times New Roman" w:hAnsi="Times New Roman"/>
          <w:sz w:val="28"/>
          <w:szCs w:val="28"/>
          <w:lang w:val="uk-UA"/>
        </w:rPr>
        <w:t xml:space="preserve"> модулів:</w:t>
      </w:r>
    </w:p>
    <w:p w:rsidR="005F6173" w:rsidRPr="005F6173" w:rsidRDefault="005F6173" w:rsidP="005F6173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– </w:t>
      </w:r>
      <w:r w:rsidRPr="005F6173">
        <w:rPr>
          <w:rFonts w:ascii="Times New Roman" w:hAnsi="Times New Roman"/>
          <w:sz w:val="28"/>
          <w:szCs w:val="28"/>
          <w:lang w:val="uk-UA"/>
        </w:rPr>
        <w:t>Змістовий модуль 1. Відображення міжнародних стандартів поводження з ув'язненими в кримінально-виконавчому законодавстві України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F6173" w:rsidRPr="005F6173" w:rsidRDefault="005F6173" w:rsidP="005F6173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F6173">
        <w:rPr>
          <w:rFonts w:ascii="Times New Roman" w:hAnsi="Times New Roman"/>
          <w:sz w:val="28"/>
          <w:szCs w:val="28"/>
          <w:lang w:val="uk-UA"/>
        </w:rPr>
        <w:t>Змістовий модуль 2. Використання досвіду виконання кримінальних покарань зарубіжними державами у кримінально-виконавчому законодавстві України.</w:t>
      </w:r>
    </w:p>
    <w:p w:rsidR="006F4137" w:rsidRPr="006F4137" w:rsidRDefault="00EB0B15" w:rsidP="006F4137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F4137" w:rsidRPr="006F4137">
        <w:rPr>
          <w:rFonts w:ascii="Times New Roman" w:hAnsi="Times New Roman"/>
          <w:sz w:val="28"/>
          <w:szCs w:val="28"/>
          <w:lang w:val="uk-UA"/>
        </w:rPr>
        <w:t>Методологія правозастосування</w:t>
      </w:r>
      <w:r w:rsidR="006F4137">
        <w:rPr>
          <w:rFonts w:ascii="Times New Roman" w:hAnsi="Times New Roman"/>
          <w:sz w:val="28"/>
          <w:szCs w:val="28"/>
          <w:lang w:val="uk-UA"/>
        </w:rPr>
        <w:t>.</w:t>
      </w:r>
    </w:p>
    <w:p w:rsidR="00EB0B15" w:rsidRDefault="00EB0B15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B0B15" w:rsidRDefault="00EB0B15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2. Мета та цілі курсу</w:t>
      </w:r>
    </w:p>
    <w:p w:rsidR="00EB0B15" w:rsidRDefault="00EB0B15">
      <w:pPr>
        <w:spacing w:after="0" w:line="100" w:lineRule="atLeast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5F6173" w:rsidRPr="005F6173" w:rsidRDefault="00EB0B15" w:rsidP="005F6173">
      <w:pPr>
        <w:tabs>
          <w:tab w:val="left" w:pos="561"/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6173">
        <w:rPr>
          <w:rFonts w:ascii="Times New Roman" w:hAnsi="Times New Roman"/>
          <w:b/>
          <w:sz w:val="28"/>
          <w:szCs w:val="28"/>
          <w:lang w:val="uk-UA"/>
        </w:rPr>
        <w:t>Мет</w:t>
      </w:r>
      <w:r w:rsidR="005F6173" w:rsidRPr="005F6173">
        <w:rPr>
          <w:rFonts w:ascii="Times New Roman" w:hAnsi="Times New Roman"/>
          <w:b/>
          <w:sz w:val="28"/>
          <w:szCs w:val="28"/>
          <w:lang w:val="uk-UA"/>
        </w:rPr>
        <w:t>ою</w:t>
      </w:r>
      <w:r w:rsidRPr="005F6173">
        <w:rPr>
          <w:rFonts w:ascii="Times New Roman" w:hAnsi="Times New Roman"/>
          <w:b/>
          <w:sz w:val="28"/>
          <w:szCs w:val="28"/>
          <w:lang w:val="uk-UA"/>
        </w:rPr>
        <w:t xml:space="preserve"> навчальної дисципліни </w:t>
      </w:r>
      <w:r w:rsidR="005F6173" w:rsidRPr="005F6173">
        <w:rPr>
          <w:rFonts w:ascii="Times New Roman" w:hAnsi="Times New Roman"/>
          <w:b/>
          <w:i/>
          <w:sz w:val="28"/>
          <w:szCs w:val="28"/>
          <w:lang w:val="uk-UA"/>
        </w:rPr>
        <w:t>«Порівняльне кримінально-виконавче право»</w:t>
      </w:r>
      <w:r w:rsidR="005F6173" w:rsidRPr="006F41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173" w:rsidRPr="005F6173">
        <w:rPr>
          <w:rFonts w:ascii="Times New Roman" w:hAnsi="Times New Roman"/>
          <w:b/>
          <w:sz w:val="28"/>
          <w:szCs w:val="28"/>
          <w:lang w:val="uk-UA"/>
        </w:rPr>
        <w:t>є</w:t>
      </w:r>
      <w:r w:rsidR="005F6173" w:rsidRPr="005F6173">
        <w:rPr>
          <w:rFonts w:ascii="Times New Roman" w:hAnsi="Times New Roman"/>
          <w:sz w:val="28"/>
          <w:szCs w:val="28"/>
          <w:lang w:val="uk-UA"/>
        </w:rPr>
        <w:t xml:space="preserve"> глибокий аналіз основних понять та інститутів порівняльного кримінально-виконавчого права, ознайомлення з кримінально-виконавчим законодавством зарубіжних країн і практикою його застосування, специфікою правового регулювання кримінально-виконавчих відносин міжнародними спеціалізованими організаціями, імплементація найбільш прогресивних положень до кримінально-виконавчого законодавства України.</w:t>
      </w:r>
    </w:p>
    <w:p w:rsidR="00EB0B15" w:rsidRPr="006F4137" w:rsidRDefault="00EB0B15">
      <w:pPr>
        <w:tabs>
          <w:tab w:val="left" w:pos="561"/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вивчення дисципліни здобувач вищої освіти має набути або розширити наступні загальні та спеціальні компетентності, передбачені освітньою програмою:</w:t>
      </w:r>
    </w:p>
    <w:p w:rsidR="006F4137" w:rsidRPr="006F4137" w:rsidRDefault="006F4137" w:rsidP="006F4137">
      <w:pPr>
        <w:tabs>
          <w:tab w:val="left" w:pos="72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3214769"/>
      <w:r w:rsidRPr="006F4137">
        <w:rPr>
          <w:rFonts w:ascii="Times New Roman" w:hAnsi="Times New Roman"/>
          <w:sz w:val="28"/>
          <w:szCs w:val="28"/>
        </w:rPr>
        <w:t>ЗК1. Здатність до абстрактного мислення, аналізу та синтезу.</w:t>
      </w:r>
    </w:p>
    <w:p w:rsidR="006F4137" w:rsidRPr="006F4137" w:rsidRDefault="006F4137" w:rsidP="006F4137">
      <w:pPr>
        <w:tabs>
          <w:tab w:val="left" w:pos="72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137">
        <w:rPr>
          <w:rFonts w:ascii="Times New Roman" w:hAnsi="Times New Roman"/>
          <w:sz w:val="28"/>
          <w:szCs w:val="28"/>
        </w:rPr>
        <w:t>ЗК2. Здатність проводити дослідження на відповідному рівні.</w:t>
      </w:r>
    </w:p>
    <w:p w:rsidR="006F4137" w:rsidRPr="006F4137" w:rsidRDefault="006F4137" w:rsidP="006F4137">
      <w:pPr>
        <w:tabs>
          <w:tab w:val="left" w:pos="72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137">
        <w:rPr>
          <w:rFonts w:ascii="Times New Roman" w:hAnsi="Times New Roman"/>
          <w:sz w:val="28"/>
          <w:szCs w:val="28"/>
        </w:rPr>
        <w:t>ЗК3. Здатність до пошуку, оброблення та аналізу інформації з різних джерел.</w:t>
      </w:r>
    </w:p>
    <w:p w:rsidR="006F4137" w:rsidRPr="006F4137" w:rsidRDefault="006F4137" w:rsidP="006F4137">
      <w:pPr>
        <w:tabs>
          <w:tab w:val="left" w:pos="72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137">
        <w:rPr>
          <w:rFonts w:ascii="Times New Roman" w:hAnsi="Times New Roman"/>
          <w:sz w:val="28"/>
          <w:szCs w:val="28"/>
        </w:rPr>
        <w:t>ЗК9. Здатність працювати в міжнародному контексті.</w:t>
      </w:r>
    </w:p>
    <w:bookmarkEnd w:id="1"/>
    <w:p w:rsidR="006F4137" w:rsidRPr="006F4137" w:rsidRDefault="006F4137" w:rsidP="006F4137">
      <w:pPr>
        <w:tabs>
          <w:tab w:val="left" w:pos="72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137">
        <w:rPr>
          <w:rFonts w:ascii="Times New Roman" w:hAnsi="Times New Roman"/>
          <w:sz w:val="28"/>
          <w:szCs w:val="28"/>
        </w:rPr>
        <w:t>СК1. Здатність застосовувати принципи верховенства права для розв’язання складних задач і проблем, у тому числі, у ситуаціях правової невизначеності. СК2. Здатність аналізувати та оцінювати вплив правової системи Європейського Союзу на правову систему України.</w:t>
      </w:r>
    </w:p>
    <w:p w:rsidR="006F4137" w:rsidRPr="006F4137" w:rsidRDefault="006F4137" w:rsidP="006F4137">
      <w:pPr>
        <w:tabs>
          <w:tab w:val="left" w:pos="72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137">
        <w:rPr>
          <w:rFonts w:ascii="Times New Roman" w:hAnsi="Times New Roman"/>
          <w:sz w:val="28"/>
          <w:szCs w:val="28"/>
        </w:rPr>
        <w:t>СК3. Здатність аналізувати та оцінювати вплив Конвенції про захист прав людини та основоположних свобод, а також практики Європейського суду з прав людини на розвиток правової системи та правозастосування в Україні. СК4. Здатність оцінювати взаємодію міжнародного права та міжнародних правових систем з правовою системою України.</w:t>
      </w:r>
    </w:p>
    <w:p w:rsidR="006F4137" w:rsidRPr="006F4137" w:rsidRDefault="006F4137" w:rsidP="006F4137">
      <w:pPr>
        <w:tabs>
          <w:tab w:val="left" w:pos="72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137">
        <w:rPr>
          <w:rFonts w:ascii="Times New Roman" w:hAnsi="Times New Roman"/>
          <w:sz w:val="28"/>
          <w:szCs w:val="28"/>
        </w:rPr>
        <w:t>СК5. Здатність використовувати сучасні правові доктрини та принципи у правотворчості та в процесі застосовування інститутів публічного і приватного права, а також кримінальної юстиції.</w:t>
      </w:r>
    </w:p>
    <w:p w:rsidR="00EB0B15" w:rsidRDefault="00EB0B15">
      <w:pPr>
        <w:tabs>
          <w:tab w:val="left" w:pos="0"/>
          <w:tab w:val="left" w:pos="374"/>
          <w:tab w:val="left" w:pos="561"/>
        </w:tabs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Завданнями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вивчення дисципліни </w:t>
      </w:r>
      <w:r w:rsidR="005F6173" w:rsidRPr="005F6173">
        <w:rPr>
          <w:rFonts w:ascii="Times New Roman" w:hAnsi="Times New Roman"/>
          <w:b/>
          <w:i/>
          <w:sz w:val="28"/>
          <w:szCs w:val="28"/>
          <w:lang w:val="uk-UA"/>
        </w:rPr>
        <w:t>«Порівняльне кримінально-виконавче право»</w:t>
      </w:r>
      <w:r w:rsidR="005F6173" w:rsidRPr="006F41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є одержання майбутніми фахівцями знань щодо:</w:t>
      </w:r>
    </w:p>
    <w:p w:rsidR="005F6173" w:rsidRPr="005F6173" w:rsidRDefault="004B316A" w:rsidP="005F6173">
      <w:pPr>
        <w:tabs>
          <w:tab w:val="left" w:pos="0"/>
          <w:tab w:val="left" w:pos="374"/>
          <w:tab w:val="left" w:pos="561"/>
        </w:tabs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5F6173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4B316A">
        <w:rPr>
          <w:rFonts w:ascii="Times New Roman" w:hAnsi="Times New Roman"/>
          <w:bCs/>
          <w:sz w:val="28"/>
          <w:szCs w:val="28"/>
          <w:lang w:val="uk-UA"/>
        </w:rPr>
        <w:t xml:space="preserve">з’ясування </w:t>
      </w:r>
      <w:r w:rsidR="005F6173" w:rsidRPr="005F6173">
        <w:rPr>
          <w:rFonts w:ascii="Times New Roman" w:hAnsi="Times New Roman"/>
          <w:bCs/>
          <w:sz w:val="28"/>
          <w:szCs w:val="28"/>
          <w:lang w:val="uk-UA"/>
        </w:rPr>
        <w:t>історі</w:t>
      </w:r>
      <w:r w:rsidR="005F6173">
        <w:rPr>
          <w:rFonts w:ascii="Times New Roman" w:hAnsi="Times New Roman"/>
          <w:bCs/>
          <w:sz w:val="28"/>
          <w:szCs w:val="28"/>
          <w:lang w:val="uk-UA"/>
        </w:rPr>
        <w:t>ї</w:t>
      </w:r>
      <w:r w:rsidR="005F6173" w:rsidRPr="005F6173">
        <w:rPr>
          <w:rFonts w:ascii="Times New Roman" w:hAnsi="Times New Roman"/>
          <w:bCs/>
          <w:sz w:val="28"/>
          <w:szCs w:val="28"/>
          <w:lang w:val="uk-UA"/>
        </w:rPr>
        <w:t xml:space="preserve"> виникнення, розвитку і становлення міжнародних стандартів у галузі захисту прав людини, засуджених і ув’язнених, поводження із ними;</w:t>
      </w:r>
    </w:p>
    <w:p w:rsidR="005F6173" w:rsidRPr="005F6173" w:rsidRDefault="004B316A" w:rsidP="005F6173">
      <w:pPr>
        <w:tabs>
          <w:tab w:val="left" w:pos="0"/>
          <w:tab w:val="left" w:pos="374"/>
          <w:tab w:val="left" w:pos="561"/>
        </w:tabs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5F6173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4B316A">
        <w:rPr>
          <w:rFonts w:ascii="Times New Roman" w:hAnsi="Times New Roman"/>
          <w:bCs/>
          <w:sz w:val="28"/>
          <w:szCs w:val="28"/>
          <w:lang w:val="uk-UA"/>
        </w:rPr>
        <w:t xml:space="preserve">розкриття </w:t>
      </w:r>
      <w:r w:rsidR="005F6173">
        <w:rPr>
          <w:rFonts w:ascii="Times New Roman" w:hAnsi="Times New Roman"/>
          <w:bCs/>
          <w:sz w:val="28"/>
          <w:szCs w:val="28"/>
          <w:lang w:val="uk-UA"/>
        </w:rPr>
        <w:t>змісту</w:t>
      </w:r>
      <w:r w:rsidR="005F6173" w:rsidRPr="005F6173">
        <w:rPr>
          <w:rFonts w:ascii="Times New Roman" w:hAnsi="Times New Roman"/>
          <w:bCs/>
          <w:sz w:val="28"/>
          <w:szCs w:val="28"/>
          <w:lang w:val="uk-UA"/>
        </w:rPr>
        <w:t xml:space="preserve"> загальних міжнародних стандартів у галузі захисту прав людини, засуджених і ув’язнених, поводження із ними та їх реалізація у сучасному кримінальному, кримінально-процесуальному та кримінально-виконавчому законодавстві України;</w:t>
      </w:r>
    </w:p>
    <w:p w:rsidR="006E38FF" w:rsidRDefault="006E38FF" w:rsidP="005F6173">
      <w:pPr>
        <w:tabs>
          <w:tab w:val="left" w:pos="0"/>
          <w:tab w:val="left" w:pos="374"/>
          <w:tab w:val="left" w:pos="561"/>
        </w:tabs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– </w:t>
      </w:r>
      <w:r w:rsidR="005F6173" w:rsidRPr="005F6173">
        <w:rPr>
          <w:rFonts w:ascii="Times New Roman" w:hAnsi="Times New Roman"/>
          <w:bCs/>
          <w:sz w:val="28"/>
          <w:szCs w:val="28"/>
          <w:lang w:val="uk-UA"/>
        </w:rPr>
        <w:t xml:space="preserve">порівняльне вивчення </w:t>
      </w:r>
      <w:r>
        <w:rPr>
          <w:rFonts w:ascii="Times New Roman" w:hAnsi="Times New Roman"/>
          <w:bCs/>
          <w:sz w:val="28"/>
          <w:szCs w:val="28"/>
          <w:lang w:val="uk-UA"/>
        </w:rPr>
        <w:t>пенітенціарних</w:t>
      </w:r>
      <w:r w:rsidR="005F6173" w:rsidRPr="005F6173">
        <w:rPr>
          <w:rFonts w:ascii="Times New Roman" w:hAnsi="Times New Roman"/>
          <w:bCs/>
          <w:sz w:val="28"/>
          <w:szCs w:val="28"/>
          <w:lang w:val="uk-UA"/>
        </w:rPr>
        <w:t xml:space="preserve"> систем різних держав в інтересах законодавчої діяльності для вирішення суто практичних завдань, що виникають </w:t>
      </w:r>
      <w:r>
        <w:rPr>
          <w:rFonts w:ascii="Times New Roman" w:hAnsi="Times New Roman"/>
          <w:bCs/>
          <w:sz w:val="28"/>
          <w:szCs w:val="28"/>
          <w:lang w:val="uk-UA"/>
        </w:rPr>
        <w:t>у кримінально-виконавчих відносинах нашої держави.</w:t>
      </w:r>
    </w:p>
    <w:p w:rsidR="00EB0B15" w:rsidRDefault="00EB0B15">
      <w:pPr>
        <w:tabs>
          <w:tab w:val="left" w:pos="0"/>
          <w:tab w:val="left" w:pos="374"/>
          <w:tab w:val="left" w:pos="561"/>
        </w:tabs>
        <w:spacing w:after="0" w:line="10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EB0B15" w:rsidRDefault="00EB0B15">
      <w:pPr>
        <w:tabs>
          <w:tab w:val="left" w:pos="0"/>
          <w:tab w:val="left" w:pos="374"/>
          <w:tab w:val="left" w:pos="56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3. Результати навчання</w:t>
      </w:r>
    </w:p>
    <w:p w:rsidR="00EB0B15" w:rsidRDefault="00EB0B15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0B15" w:rsidRPr="006F4137" w:rsidRDefault="00EB0B15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вивчення дисципліни здобувач вищої освіти має досягти або вдосконалити </w:t>
      </w:r>
      <w:r w:rsidRPr="004B316A">
        <w:rPr>
          <w:rFonts w:ascii="Times New Roman" w:hAnsi="Times New Roman"/>
          <w:b/>
          <w:sz w:val="28"/>
          <w:szCs w:val="28"/>
          <w:lang w:val="uk-UA"/>
        </w:rPr>
        <w:t>наступні програмні результати навчання (ПРН)</w:t>
      </w:r>
      <w:r>
        <w:rPr>
          <w:rFonts w:ascii="Times New Roman" w:hAnsi="Times New Roman"/>
          <w:sz w:val="28"/>
          <w:szCs w:val="28"/>
          <w:lang w:val="uk-UA"/>
        </w:rPr>
        <w:t>, передбачені освітньою програмою:</w:t>
      </w:r>
    </w:p>
    <w:p w:rsidR="004B316A" w:rsidRPr="004B316A" w:rsidRDefault="004B316A" w:rsidP="004B316A">
      <w:pPr>
        <w:widowControl w:val="0"/>
        <w:tabs>
          <w:tab w:val="left" w:pos="284"/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 w:rsidRPr="004B316A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 xml:space="preserve">ПРН1. Оцінювати природу та характер суспільних процесів і явищ, і виявляти розуміння меж та механізмів їх правового регулювання. </w:t>
      </w:r>
    </w:p>
    <w:p w:rsidR="004B316A" w:rsidRPr="004B316A" w:rsidRDefault="004B316A" w:rsidP="004B316A">
      <w:pPr>
        <w:widowControl w:val="0"/>
        <w:tabs>
          <w:tab w:val="left" w:pos="284"/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 w:rsidRPr="004B316A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ПРН2. Співвідносити сучасну систему цивілізаційних цінностей з правовими цінностями, принципами та професійними етичними стандартами.</w:t>
      </w:r>
    </w:p>
    <w:p w:rsidR="004B316A" w:rsidRPr="004B316A" w:rsidRDefault="004B316A" w:rsidP="004B316A">
      <w:pPr>
        <w:widowControl w:val="0"/>
        <w:tabs>
          <w:tab w:val="left" w:pos="284"/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 w:rsidRPr="004B316A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ПРН3. Проводити збір, інтегрований аналіз та узагальнення матеріалів з різних джерел, включаючи наукову та професійну літературу, бази даних, цифрові, статистичні, тестові та інші, та перевіряти їх на достовірність, використовуючи сучасні методи дослідження.</w:t>
      </w:r>
    </w:p>
    <w:p w:rsidR="004B316A" w:rsidRPr="004B316A" w:rsidRDefault="004B316A" w:rsidP="004B316A">
      <w:pPr>
        <w:widowControl w:val="0"/>
        <w:tabs>
          <w:tab w:val="left" w:pos="284"/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 w:rsidRPr="004B316A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ПРН4. Здійснювати презентацію свого дослідження з правової теми, застосовуючи першоджерела та прийоми правової інтерпретації складних комплексних проблем, що постають з цього дослідження, аргументувати висновки.</w:t>
      </w:r>
    </w:p>
    <w:p w:rsidR="004B316A" w:rsidRPr="004B316A" w:rsidRDefault="004B316A" w:rsidP="004B316A">
      <w:pPr>
        <w:widowControl w:val="0"/>
        <w:tabs>
          <w:tab w:val="left" w:pos="284"/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 w:rsidRPr="004B316A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ПРН5. Вільно спілкуватися правничою іноземною мовою (однією з офіційних мов Ради Європи) усно і письмово.</w:t>
      </w:r>
    </w:p>
    <w:p w:rsidR="004B316A" w:rsidRPr="004B316A" w:rsidRDefault="004B316A" w:rsidP="004B316A">
      <w:pPr>
        <w:widowControl w:val="0"/>
        <w:tabs>
          <w:tab w:val="left" w:pos="284"/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 w:rsidRPr="004B316A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ПРН6. Обґрунтовано формулювати свою правову позицію, вміти опонувати, оцінювати докази та наводити переконливі аргументи.</w:t>
      </w:r>
    </w:p>
    <w:p w:rsidR="004B316A" w:rsidRPr="004B316A" w:rsidRDefault="004B316A" w:rsidP="004B316A">
      <w:pPr>
        <w:widowControl w:val="0"/>
        <w:tabs>
          <w:tab w:val="left" w:pos="284"/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 w:rsidRPr="004B316A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ПРН7. Дискутувати зі складних правових проблем, пропонувати і обґрунтовувати варіанти їх розв’язання.</w:t>
      </w:r>
    </w:p>
    <w:p w:rsidR="004B316A" w:rsidRPr="004B316A" w:rsidRDefault="004B316A" w:rsidP="004B316A">
      <w:pPr>
        <w:widowControl w:val="0"/>
        <w:tabs>
          <w:tab w:val="left" w:pos="284"/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 w:rsidRPr="004B316A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ПРН10. Аналізувати взаємодію міжнародного права та міжнародно- правових систем з правовою системою України на основі усвідомлення основних сучасних правових доктрин, цінностей та принципів функціонування права.</w:t>
      </w:r>
    </w:p>
    <w:p w:rsidR="00EB0B15" w:rsidRPr="004B316A" w:rsidRDefault="00EB0B15" w:rsidP="004B316A">
      <w:pPr>
        <w:widowControl w:val="0"/>
        <w:tabs>
          <w:tab w:val="left" w:pos="284"/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 w:rsidRPr="004B316A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 xml:space="preserve">В результаті вивчення дисципліни </w:t>
      </w:r>
      <w:r w:rsidRPr="004B316A"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  <w:t>«</w:t>
      </w:r>
      <w:r w:rsidR="00774E77"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  <w:t>Порівняльне кримінально-виконавче право</w:t>
      </w:r>
      <w:r w:rsidRPr="004B316A"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  <w:t>»</w:t>
      </w:r>
      <w:r w:rsidRPr="004B316A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 xml:space="preserve"> здобувачі вищої освіти повинні </w:t>
      </w:r>
      <w:r w:rsidRPr="004B316A"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  <w:t>знати</w:t>
      </w:r>
      <w:r w:rsidRPr="004B316A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: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предмет, методологію, завдання навчальної дисципліни «Порівняльне кримінально-виконавче право»;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декларації, конвенції, пакти, принципи, правила, резолюції, рекомендації та інші документи, прийняті компетентними органами ООН та Ради Європи та їх відображення у Законах України, підзаконних нормативно-правових актах органів державної влади, зокрема, Міністерства юстиції України, які регламентують захист прав людини і діяльність органів та установ виконання покарань;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поняття, види та основні принципи діяльності органів та установ виконання покарань  різних держав;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основні поняття, категорії та інститути кримінально-виконавчого права у розрізі міжнародно-правового регулювання кримінально-виконавчих відносин;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lastRenderedPageBreak/>
        <w:t>міжнародно-правові акти щодо поводження із засудженими (ув’язненими) та їх значення для пенітенціарних установ України;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судову практику щодо реалізації норм кримінально-виконавчого законодавства Україні;</w:t>
      </w:r>
    </w:p>
    <w:p w:rsidR="00EB0B15" w:rsidRDefault="00400E0E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студенти </w:t>
      </w:r>
      <w:r w:rsidR="00EB0B15">
        <w:rPr>
          <w:szCs w:val="28"/>
        </w:rPr>
        <w:t xml:space="preserve">повинні </w:t>
      </w:r>
      <w:r w:rsidR="00EB0B15">
        <w:rPr>
          <w:b/>
          <w:bCs/>
          <w:szCs w:val="28"/>
        </w:rPr>
        <w:t xml:space="preserve">вміти: 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оперувати основними поняттями, які використовуються при вивченні навчальної дисципліни «Порівняльне кримінально-виконавче право»;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користуватись нормативно-правовими актами, що прийняті компетентними органами ООН та Ради Європи, науковими та історичними джерелами, які утримують аналіз діяльності сучасних світових пенітенціарних систем щодо захисту прав засуджених т ув’язнених та рекомендації щодо покращення цієї діяльності;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порівнювати норми національного кримінально-виконавчого законодавства, міжнародно-правових актів щодо поводження із засудженими (ув’язненими) та надавати обґрунтовані висновки щодо їх застосування і вдосконалення законодавства України;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надавати правову допомогу засудженим та ув’язненим щодо правового регулювання кримінально-виконавчих відносин нормами міжнародно-правових актів;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використовувати досвід правового регулювання кримінально-виконавчих відносин у зарубіжних країнах для вдосконалення кримінально-виконавчого законодавства України;</w:t>
      </w:r>
    </w:p>
    <w:p w:rsidR="006E38FF" w:rsidRPr="006E38FF" w:rsidRDefault="006E38FF" w:rsidP="006E38FF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популяризувати кримінально-виконавче законодавство України, його соціальні стандарти та захисну спрямованість у кримінально-виконавчих правовідносинах із засудженими та ув’язненими;</w:t>
      </w:r>
    </w:p>
    <w:p w:rsidR="00400E0E" w:rsidRPr="006E38FF" w:rsidRDefault="006E38FF" w:rsidP="003B54CB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E38FF">
        <w:rPr>
          <w:szCs w:val="28"/>
        </w:rPr>
        <w:t>складати проекти підзаконних, відомчих нормативно-правових актів (наказів, інструкцій, порядків, положень, статутів тощо) у відповідності до вимог законів України та міжнародно- правових актів, ратифікованих Україною.</w:t>
      </w:r>
    </w:p>
    <w:p w:rsidR="00EB0B15" w:rsidRPr="00400E0E" w:rsidRDefault="00EB0B15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B0B15" w:rsidRDefault="00EB0B15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4. Обсяг курсу</w:t>
      </w:r>
    </w:p>
    <w:p w:rsidR="00EB0B15" w:rsidRDefault="00EB0B15">
      <w:pPr>
        <w:spacing w:after="0" w:line="100" w:lineRule="atLeast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tbl>
      <w:tblPr>
        <w:tblW w:w="0" w:type="auto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4785"/>
        <w:gridCol w:w="5103"/>
      </w:tblGrid>
      <w:tr w:rsidR="00EB0B1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Вид заняття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Загальна к-сть годин</w:t>
            </w:r>
            <w:r w:rsidR="00400E0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денна/заочна</w:t>
            </w:r>
          </w:p>
        </w:tc>
      </w:tr>
      <w:tr w:rsidR="00EB0B1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лекції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B15" w:rsidRDefault="00400E0E" w:rsidP="006E38F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16/</w:t>
            </w:r>
            <w:r w:rsidR="006E38F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  <w:r w:rsidR="00EB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години</w:t>
            </w:r>
          </w:p>
        </w:tc>
      </w:tr>
      <w:tr w:rsidR="00EB0B1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400E0E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практичні</w:t>
            </w:r>
            <w:r w:rsidR="00EB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заняття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B15" w:rsidRDefault="00400E0E" w:rsidP="006E38F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14/</w:t>
            </w:r>
            <w:r w:rsidR="006E38F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  <w:r w:rsidR="00EB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годин</w:t>
            </w:r>
          </w:p>
        </w:tc>
      </w:tr>
      <w:tr w:rsidR="00EB0B1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самостійна робота (контрольна робота)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B15" w:rsidRDefault="00400E0E" w:rsidP="0022020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60/</w:t>
            </w:r>
            <w:r w:rsidR="002202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100</w:t>
            </w:r>
            <w:r w:rsidR="00EB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годин</w:t>
            </w:r>
          </w:p>
        </w:tc>
      </w:tr>
      <w:tr w:rsidR="00400E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E0E" w:rsidRDefault="00400E0E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Загалом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E0E" w:rsidRDefault="00400E0E" w:rsidP="0022020F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90/</w:t>
            </w:r>
            <w:r w:rsidR="002202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120</w:t>
            </w:r>
          </w:p>
        </w:tc>
      </w:tr>
    </w:tbl>
    <w:p w:rsidR="00EB0B15" w:rsidRDefault="00EB0B15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B0B15" w:rsidRDefault="00EB0B15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Пререквізити</w:t>
      </w:r>
      <w:proofErr w:type="spellEnd"/>
    </w:p>
    <w:p w:rsidR="00EB0B15" w:rsidRDefault="00EB0B15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400E0E" w:rsidRPr="006E38FF" w:rsidRDefault="00EB0B15" w:rsidP="006E38FF">
      <w:pPr>
        <w:spacing w:after="0" w:line="10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Успішне засвоєння </w:t>
      </w:r>
      <w:r w:rsidR="00400E0E">
        <w:rPr>
          <w:rFonts w:ascii="Times New Roman" w:hAnsi="Times New Roman"/>
          <w:sz w:val="28"/>
          <w:szCs w:val="28"/>
          <w:lang w:val="uk-UA"/>
        </w:rPr>
        <w:t xml:space="preserve">курсу </w:t>
      </w:r>
      <w:r w:rsidR="00400E0E" w:rsidRPr="008363BF">
        <w:rPr>
          <w:rFonts w:ascii="Times New Roman" w:hAnsi="Times New Roman"/>
          <w:b/>
          <w:sz w:val="28"/>
          <w:szCs w:val="28"/>
          <w:lang w:val="uk-UA"/>
        </w:rPr>
        <w:t>«</w:t>
      </w:r>
      <w:r w:rsidR="00774E77" w:rsidRPr="006E38FF">
        <w:rPr>
          <w:rFonts w:ascii="Times New Roman" w:hAnsi="Times New Roman"/>
          <w:b/>
          <w:i/>
          <w:sz w:val="28"/>
          <w:szCs w:val="28"/>
          <w:lang w:val="uk-UA"/>
        </w:rPr>
        <w:t>Порівняльне кримінально-виконавче право</w:t>
      </w:r>
      <w:r w:rsidR="00400E0E" w:rsidRPr="008363BF">
        <w:rPr>
          <w:rFonts w:ascii="Times New Roman" w:hAnsi="Times New Roman"/>
          <w:b/>
          <w:sz w:val="28"/>
          <w:szCs w:val="28"/>
          <w:lang w:val="uk-UA"/>
        </w:rPr>
        <w:t>»</w:t>
      </w:r>
      <w:r w:rsidR="00400E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ґрунтується на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знаннях, отриманих ЗВО під час опанування положень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курсів </w:t>
      </w:r>
      <w:r w:rsidR="006E38FF" w:rsidRPr="006E38FF">
        <w:rPr>
          <w:rFonts w:ascii="Times New Roman" w:hAnsi="Times New Roman"/>
          <w:b/>
          <w:i/>
          <w:sz w:val="28"/>
          <w:szCs w:val="28"/>
          <w:lang w:val="uk-UA"/>
        </w:rPr>
        <w:t>«Теорія держави і права», «Міжнародне право», «Кримінальне право», «Кримінально-виконавче право»</w:t>
      </w:r>
      <w:r w:rsidR="006E38FF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EB0B15" w:rsidRPr="008363BF" w:rsidRDefault="00EB0B15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Водночас вивчення </w:t>
      </w:r>
      <w:r w:rsidR="008363BF">
        <w:rPr>
          <w:rFonts w:ascii="Times New Roman" w:hAnsi="Times New Roman"/>
          <w:sz w:val="28"/>
          <w:szCs w:val="28"/>
          <w:lang w:val="uk-UA"/>
        </w:rPr>
        <w:t xml:space="preserve">курсу </w:t>
      </w:r>
      <w:r w:rsidR="008363BF" w:rsidRPr="008363BF">
        <w:rPr>
          <w:rFonts w:ascii="Times New Roman" w:hAnsi="Times New Roman"/>
          <w:b/>
          <w:sz w:val="28"/>
          <w:szCs w:val="28"/>
          <w:lang w:val="uk-UA"/>
        </w:rPr>
        <w:t>«</w:t>
      </w:r>
      <w:r w:rsidR="00774E77">
        <w:rPr>
          <w:rFonts w:ascii="Times New Roman" w:hAnsi="Times New Roman"/>
          <w:b/>
          <w:sz w:val="28"/>
          <w:szCs w:val="28"/>
          <w:lang w:val="uk-UA"/>
        </w:rPr>
        <w:t>Порівняльне кримінально-виконавче право</w:t>
      </w:r>
      <w:r w:rsidR="008363BF" w:rsidRPr="008363BF">
        <w:rPr>
          <w:rFonts w:ascii="Times New Roman" w:hAnsi="Times New Roman"/>
          <w:b/>
          <w:sz w:val="28"/>
          <w:szCs w:val="28"/>
          <w:lang w:val="uk-UA"/>
        </w:rPr>
        <w:t>»</w:t>
      </w:r>
      <w:r w:rsidR="008363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стане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основою для опанування здобувачів вищої освіти такої навчальної дисципліни, </w:t>
      </w:r>
      <w:r w:rsidRPr="008363BF">
        <w:rPr>
          <w:rFonts w:ascii="Times New Roman" w:hAnsi="Times New Roman"/>
          <w:b/>
          <w:sz w:val="28"/>
          <w:szCs w:val="28"/>
          <w:lang w:val="uk-UA"/>
        </w:rPr>
        <w:t>як</w:t>
      </w:r>
      <w:r w:rsidRPr="008363BF">
        <w:rPr>
          <w:b/>
          <w:sz w:val="28"/>
          <w:szCs w:val="28"/>
          <w:lang w:val="uk-UA"/>
        </w:rPr>
        <w:t xml:space="preserve"> «</w:t>
      </w:r>
      <w:r w:rsidR="008363BF" w:rsidRPr="008363BF">
        <w:rPr>
          <w:rFonts w:ascii="Times New Roman" w:hAnsi="Times New Roman"/>
          <w:b/>
          <w:sz w:val="28"/>
          <w:szCs w:val="28"/>
          <w:lang w:val="uk-UA"/>
        </w:rPr>
        <w:t>Актуальні проблеми міжнародного права та ЄС», «Проблеми публічного та приватного права».</w:t>
      </w:r>
    </w:p>
    <w:p w:rsidR="00EB0B15" w:rsidRDefault="00EB0B15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2020F" w:rsidRDefault="0022020F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2020F" w:rsidRDefault="0022020F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2020F" w:rsidRDefault="0022020F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0B15" w:rsidRDefault="00EB0B15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6. Система оцінювання та вимоги</w:t>
      </w:r>
    </w:p>
    <w:p w:rsidR="00EB0B15" w:rsidRDefault="00EB0B15">
      <w:pPr>
        <w:spacing w:after="0" w:line="100" w:lineRule="atLeast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tbl>
      <w:tblPr>
        <w:tblW w:w="0" w:type="auto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1383"/>
        <w:gridCol w:w="1700"/>
        <w:gridCol w:w="6806"/>
      </w:tblGrid>
      <w:tr w:rsidR="00EB0B15">
        <w:trPr>
          <w:trHeight w:val="49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Pr="00683BDB" w:rsidRDefault="00EB0B15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BDB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Загальна система оцінювання курсу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Загальними критеріями, за якими здійснюється оцінювання результатів навчання студентів, є: глибина і міцність знань, рівень мислення, вміння систематизувати знання за окремими темами, вміння робити обґрунтовані висновки, володіння категорійним апаратом, навички і прийоми виконання практичних завдань, вміння знаходити необхідну інформацію, здійснювати її систематизацію та обробку, самореалізація на </w:t>
            </w:r>
            <w:r w:rsidR="008363BF">
              <w:rPr>
                <w:rFonts w:ascii="Times New Roman" w:hAnsi="Times New Roman"/>
                <w:sz w:val="24"/>
                <w:szCs w:val="24"/>
                <w:lang w:val="uk-UA"/>
              </w:rPr>
              <w:t>практичних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заняттях, а також самостійність та своєчасність здачі виконаних індивідуальних та самостійних завдань викладачу згідно з графіком навчального процесу.</w:t>
            </w:r>
          </w:p>
          <w:p w:rsidR="00EB0B15" w:rsidRDefault="00EB0B15">
            <w:pPr>
              <w:spacing w:after="0" w:line="10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Максимально можливий бал за конкретним завданням ставиться за умови відповідності виду індивідуальної та самостійної роботи або усної, письмової відповіді всім зазначеним критеріям. Відсутність тієї або іншої складової знижує кількість балів.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0"/>
              <w:gridCol w:w="996"/>
              <w:gridCol w:w="1568"/>
            </w:tblGrid>
            <w:tr w:rsidR="00EB0B15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  <w:vAlign w:val="center"/>
                </w:tcPr>
                <w:p w:rsidR="00EB0B15" w:rsidRDefault="00EB0B15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Контрольний захід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Бали за один вид роботи</w:t>
                  </w:r>
                </w:p>
              </w:tc>
              <w:tc>
                <w:tcPr>
                  <w:tcW w:w="1568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Всього балів за семестр</w:t>
                  </w:r>
                </w:p>
              </w:tc>
            </w:tr>
            <w:tr w:rsidR="00EB0B15">
              <w:tc>
                <w:tcPr>
                  <w:tcW w:w="8283" w:type="dxa"/>
                  <w:gridSpan w:val="3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Поточний контроль знань студентів</w:t>
                  </w:r>
                </w:p>
              </w:tc>
            </w:tr>
            <w:tr w:rsidR="00EB0B15">
              <w:tc>
                <w:tcPr>
                  <w:tcW w:w="8283" w:type="dxa"/>
                  <w:gridSpan w:val="3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Обов’язкові види робіт</w:t>
                  </w:r>
                </w:p>
              </w:tc>
            </w:tr>
            <w:tr w:rsidR="00EB0B15" w:rsidTr="008363BF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8363BF">
                  <w:pPr>
                    <w:spacing w:after="28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Участь у практичному або індивідуальному занятті – активність роботи, відповідь 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на питання практичного заняття або на питання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для самостійного опрацювання тощо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6E38FF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0-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 (0-</w:t>
                  </w:r>
                  <w:r w:rsidR="006E38F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568" w:type="dxa"/>
                  <w:vMerge w:val="restart"/>
                  <w:tcBorders>
                    <w:top w:val="thickThinLargeGap" w:sz="6" w:space="0" w:color="000000"/>
                    <w:left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6E38FF" w:rsidP="006E38FF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28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30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EB0B15" w:rsidTr="008363BF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8363BF">
                  <w:pPr>
                    <w:spacing w:after="28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Доповнення, запитання доповідачу на 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практичному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занятті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6E38FF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0-</w:t>
                  </w:r>
                  <w:r w:rsidR="006E38F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(0-</w:t>
                  </w:r>
                  <w:r w:rsidR="006E38F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568" w:type="dxa"/>
                  <w:vMerge/>
                  <w:tcBorders>
                    <w:left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B0B15" w:rsidTr="008363BF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8363BF">
                  <w:pPr>
                    <w:spacing w:after="28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Розв’язування задач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6E38FF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0-2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(0-</w:t>
                  </w:r>
                  <w:r w:rsidR="006E38F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568" w:type="dxa"/>
                  <w:vMerge/>
                  <w:tcBorders>
                    <w:left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B0B15" w:rsidTr="008363BF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8363BF">
                  <w:pPr>
                    <w:spacing w:after="28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Вирішення тестів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6E38FF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0-</w:t>
                  </w:r>
                  <w:r w:rsidR="006E38F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(0-</w:t>
                  </w:r>
                  <w:r w:rsidR="006E38F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568" w:type="dxa"/>
                  <w:vMerge/>
                  <w:tcBorders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B0B15" w:rsidTr="008363BF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8363BF">
                  <w:pPr>
                    <w:spacing w:after="28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Робота на лекції (активність роботи, написання конспектів)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8363BF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0-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2(0-3)</w:t>
                  </w:r>
                </w:p>
              </w:tc>
              <w:tc>
                <w:tcPr>
                  <w:tcW w:w="1568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8363BF" w:rsidP="006E38FF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16 (</w:t>
                  </w:r>
                  <w:r w:rsidR="006E38F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EB0B15" w:rsidTr="008363BF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8363BF">
                  <w:pPr>
                    <w:spacing w:after="28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Самостійне опрацювання тем курсу (своєчасність захисту, конспект)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0-3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(0-4)</w:t>
                  </w:r>
                </w:p>
              </w:tc>
              <w:tc>
                <w:tcPr>
                  <w:tcW w:w="1568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8363BF" w:rsidP="00FC2BA2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24 (</w:t>
                  </w:r>
                  <w:r w:rsidR="00FC2BA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EB0B15" w:rsidTr="008363BF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8363BF">
                  <w:pPr>
                    <w:spacing w:after="28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Презентація реферату та/або виконання самостійної дослідної роботи (індивідуальна робота)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8363BF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0-</w:t>
                  </w:r>
                  <w:r w:rsidR="008363BF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 (0-6)</w:t>
                  </w:r>
                </w:p>
              </w:tc>
              <w:tc>
                <w:tcPr>
                  <w:tcW w:w="1568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8363BF" w:rsidP="00FC2BA2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12 (1</w:t>
                  </w:r>
                  <w:r w:rsidR="00FC2BA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EB0B15" w:rsidTr="008363BF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8363BF">
                  <w:pPr>
                    <w:spacing w:after="28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Виконання модульної контрольної роботи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8363BF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1568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8363BF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EB0B15">
              <w:tc>
                <w:tcPr>
                  <w:tcW w:w="8283" w:type="dxa"/>
                  <w:gridSpan w:val="3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Вибіркові види робіт</w:t>
                  </w:r>
                </w:p>
              </w:tc>
            </w:tr>
            <w:tr w:rsidR="00EB0B15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Виконання вибіркових видів самостійної роботи (огляд літератури, презентації PowerPoint та інші візуалізацій ні матеріали, доповідь на наукову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студентську конференцію, участь в студентській олімпіаді, підготовка наукових публікацій тощо)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 w:rsidP="00683BDB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0-</w:t>
                  </w:r>
                  <w:r w:rsidR="00683BDB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  <w:r w:rsidR="00FC2BA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(0-3)</w:t>
                  </w:r>
                </w:p>
              </w:tc>
              <w:tc>
                <w:tcPr>
                  <w:tcW w:w="1568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FC2BA2" w:rsidP="00FC2BA2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 (15)</w:t>
                  </w:r>
                </w:p>
              </w:tc>
            </w:tr>
            <w:tr w:rsidR="00EB0B15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Всього балів за 100-бальною шкалою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60</w:t>
                  </w:r>
                </w:p>
              </w:tc>
            </w:tr>
            <w:tr w:rsidR="00EB0B15">
              <w:tc>
                <w:tcPr>
                  <w:tcW w:w="8283" w:type="dxa"/>
                  <w:gridSpan w:val="3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Підсумковий контроль знань студентів</w:t>
                  </w:r>
                </w:p>
              </w:tc>
            </w:tr>
            <w:tr w:rsidR="00EB0B15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FC2BA2">
                  <w:pPr>
                    <w:spacing w:after="28" w:line="100" w:lineRule="atLeas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Екзамен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0-40</w:t>
                  </w:r>
                </w:p>
              </w:tc>
              <w:tc>
                <w:tcPr>
                  <w:tcW w:w="1568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</w:tr>
            <w:tr w:rsidR="00EB0B15">
              <w:tc>
                <w:tcPr>
                  <w:tcW w:w="5720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Всього балів за 100-бальною шкалою</w:t>
                  </w:r>
                </w:p>
              </w:tc>
              <w:tc>
                <w:tcPr>
                  <w:tcW w:w="995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</w:tr>
            <w:tr w:rsidR="00EB0B15">
              <w:tc>
                <w:tcPr>
                  <w:tcW w:w="6716" w:type="dxa"/>
                  <w:gridSpan w:val="2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Загальна кількість балів за семестр</w:t>
                  </w:r>
                </w:p>
              </w:tc>
              <w:tc>
                <w:tcPr>
                  <w:tcW w:w="1567" w:type="dxa"/>
                  <w:tcBorders>
                    <w:top w:val="thickThinLargeGap" w:sz="6" w:space="0" w:color="000000"/>
                    <w:left w:val="thickThinLargeGap" w:sz="6" w:space="0" w:color="000000"/>
                    <w:bottom w:val="thickThinLargeGap" w:sz="6" w:space="0" w:color="000000"/>
                    <w:right w:val="thickThinLargeGap" w:sz="6" w:space="0" w:color="000000"/>
                  </w:tcBorders>
                  <w:shd w:val="clear" w:color="auto" w:fill="auto"/>
                </w:tcPr>
                <w:p w:rsidR="00EB0B15" w:rsidRDefault="00EB0B15">
                  <w:pPr>
                    <w:spacing w:after="28"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:rsidR="00EB0B15" w:rsidRDefault="00EB0B15">
            <w:pPr>
              <w:spacing w:after="0" w:line="10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0B15">
        <w:trPr>
          <w:trHeight w:val="49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Вимоги до реферату, РГР, КР, КП, тощо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Письмова робота (реферат, індивідуальна робота тощо)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це письмова самостійна робота з дисципліни, яка демонструє поглиблене опрацювання відповідної теми. У процесі підготовки реферату/індивідуальної роботи здобувач ВО накопичує знання, вміння та навички роботи з різними інформаційними джерелами, уміння аналізувати різні точки зору, законодавство, робити висновки.</w:t>
            </w:r>
          </w:p>
          <w:p w:rsidR="00EB0B15" w:rsidRDefault="00EB0B1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Критеріями оцінки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змісту реферату/індивідуальної роботи є повнота висвітлення питання. Зрозумілість, уміння аналізувати, зіставляти та узагальнювати різні підходи, працювати з нормативними актами, наявність власної думки, оформлення роботи.</w:t>
            </w:r>
          </w:p>
          <w:p w:rsidR="00EB0B15" w:rsidRDefault="00EB0B1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Оцінювання виконання реферату/індивідуальної роботи здійснюється на основі наступних критеріїв:</w:t>
            </w:r>
          </w:p>
          <w:p w:rsidR="00EB0B15" w:rsidRDefault="00EB0B1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683B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FC2B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/6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балів – матеріал викладений логічно і повно, результати дослідження мають практичну і теоретичну цінність, висновки аргументовані і обґрунтовані, реферат містить вступ, основну частину, висновки і список літератури, оформлення реферату/індивідуальної роботи відповідає вимогам;</w:t>
            </w:r>
          </w:p>
          <w:p w:rsidR="00EB0B15" w:rsidRDefault="00EB0B1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683B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3-2</w:t>
            </w:r>
            <w:r w:rsidR="00FC2B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/5-3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бали – матеріал викладений логічно і повно, результати дослідження мають практичну і теоретичну цінність, висновки недостатньо аргументовані і обґрунтовані, реферат/індивідуальна робота містить вступ, основну частину, висновки, проте список літератури є недостатнім, оформлення відповідає вимогам;</w:t>
            </w:r>
          </w:p>
          <w:p w:rsidR="00EB0B15" w:rsidRDefault="00EB0B1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683B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FC2B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/2-1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бал – матеріал викладений недостатньо повно, реферат/індивідуальна робота не містить вступу, висновки не достатньо аргументовані, обґрунтовані та/або не стосуються усіх поставлених завдань, список літератури є недостатнім, оформлення не відповідає вимогам;</w:t>
            </w:r>
          </w:p>
          <w:p w:rsidR="00EB0B15" w:rsidRDefault="00EB0B15" w:rsidP="00FC2BA2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- 0 бал</w:t>
            </w:r>
            <w:r w:rsidR="00FC2B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викладений матеріал неповний, реферат/індивідуальна робота не містить вступу, основна частина не є структурованою, висновки поверхневі або відсутні, список літератури є недостатнім, оформлення не відповідає вимогам.</w:t>
            </w:r>
          </w:p>
        </w:tc>
      </w:tr>
      <w:tr w:rsidR="00EB0B15">
        <w:trPr>
          <w:trHeight w:val="11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Pr="00683BDB" w:rsidRDefault="00683BDB">
            <w:pPr>
              <w:spacing w:after="0" w:line="100" w:lineRule="atLeast"/>
              <w:jc w:val="both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683BDB">
              <w:rPr>
                <w:rFonts w:ascii="Times New Roman" w:hAnsi="Times New Roman"/>
                <w:b/>
                <w:bCs/>
                <w:lang w:val="uk-UA" w:eastAsia="ru-RU"/>
              </w:rPr>
              <w:t>Практичні</w:t>
            </w:r>
            <w:r w:rsidR="00EB0B15" w:rsidRPr="00683BDB">
              <w:rPr>
                <w:rFonts w:ascii="Times New Roman" w:hAnsi="Times New Roman"/>
                <w:b/>
                <w:bCs/>
                <w:lang w:val="uk-UA" w:eastAsia="ru-RU"/>
              </w:rPr>
              <w:t xml:space="preserve"> заняття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b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shd w:val="clear" w:color="auto" w:fill="FFFFFF"/>
                <w:lang w:val="uk-UA"/>
              </w:rPr>
              <w:t>Рівень знань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Cs w:val="28"/>
                <w:shd w:val="clear" w:color="auto" w:fill="FFFFFF"/>
                <w:lang w:val="uk-UA"/>
              </w:rPr>
              <w:t>Критерії оцінювання</w:t>
            </w:r>
          </w:p>
        </w:tc>
      </w:tr>
      <w:tr w:rsidR="00EB0B15" w:rsidRPr="00FE3771">
        <w:trPr>
          <w:trHeight w:val="111"/>
        </w:trPr>
        <w:tc>
          <w:tcPr>
            <w:tcW w:w="138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683BDB">
            <w:pPr>
              <w:spacing w:after="0" w:line="100" w:lineRule="atLeast"/>
              <w:ind w:left="-108"/>
              <w:jc w:val="center"/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4</w:t>
            </w:r>
            <w:r w:rsidR="00FC2BA2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/6 </w:t>
            </w:r>
            <w:r w:rsidR="00EB0B15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бали</w:t>
            </w:r>
          </w:p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Відмінний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Pr="006F4137" w:rsidRDefault="00EB0B15">
            <w:pPr>
              <w:spacing w:after="0" w:line="100" w:lineRule="atLeast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Cs/>
                <w:szCs w:val="28"/>
                <w:lang w:val="uk-UA"/>
              </w:rPr>
              <w:t>Здобувач вищої освіти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виявляє вміння самостійно отримувати інформацію, вміє використовувати набуті знання і вміння для прийняття рішень у нестандартних ситуаціях, переконливо аргументує відповіді, вирішує практичні ситуації</w:t>
            </w:r>
          </w:p>
        </w:tc>
      </w:tr>
      <w:tr w:rsidR="00EB0B15" w:rsidRPr="00FE3771">
        <w:trPr>
          <w:trHeight w:val="111"/>
        </w:trPr>
        <w:tc>
          <w:tcPr>
            <w:tcW w:w="138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683BDB">
            <w:pPr>
              <w:spacing w:after="0" w:line="100" w:lineRule="atLeast"/>
              <w:ind w:left="-108"/>
              <w:jc w:val="center"/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3-</w:t>
            </w:r>
            <w:r w:rsidR="00EB0B15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2</w:t>
            </w:r>
            <w:r w:rsidR="00FC2BA2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/ 5-3</w:t>
            </w:r>
            <w:r w:rsidR="00EB0B15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бали</w:t>
            </w:r>
          </w:p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Дуже добрий-добрий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Pr="006F4137" w:rsidRDefault="00EB0B15">
            <w:pPr>
              <w:spacing w:after="0" w:line="100" w:lineRule="atLeast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Cs/>
                <w:szCs w:val="28"/>
                <w:lang w:val="uk-UA"/>
              </w:rPr>
              <w:t>Здобувач вищої освіти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вміє зіставляти, узагальнювати, систематизувати інформацію під керівництвом викладача; в цілому самостійно застосовувати її на практиці; контролювати власну діяльність; виправляти помилки, серед яких є суттєві, добирати аргументи для підтвердження думок</w:t>
            </w:r>
          </w:p>
        </w:tc>
      </w:tr>
      <w:tr w:rsidR="00EB0B15" w:rsidRPr="00FE3771">
        <w:trPr>
          <w:trHeight w:val="111"/>
        </w:trPr>
        <w:tc>
          <w:tcPr>
            <w:tcW w:w="138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ind w:left="-108"/>
              <w:jc w:val="center"/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1 </w:t>
            </w:r>
            <w:r w:rsidR="00FC2BA2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/2-1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бал</w:t>
            </w:r>
          </w:p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Задовільний-мінімальний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Pr="006F4137" w:rsidRDefault="00EB0B15">
            <w:pPr>
              <w:spacing w:after="0" w:line="100" w:lineRule="atLeast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Cs/>
                <w:szCs w:val="28"/>
                <w:lang w:val="uk-UA"/>
              </w:rPr>
              <w:t>Здобувач вищої освіти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</w:t>
            </w:r>
          </w:p>
        </w:tc>
      </w:tr>
      <w:tr w:rsidR="00EB0B15">
        <w:trPr>
          <w:trHeight w:val="111"/>
        </w:trPr>
        <w:tc>
          <w:tcPr>
            <w:tcW w:w="138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ind w:left="-108"/>
              <w:jc w:val="center"/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0 балів</w:t>
            </w:r>
          </w:p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Незадовільний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szCs w:val="28"/>
                <w:lang w:val="uk-UA"/>
              </w:rPr>
              <w:t>Здобувач вищої освіти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володіє матеріалом на рівні окремих фрагментів, що становлять незначну частину навчального матеріалу,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lastRenderedPageBreak/>
              <w:t>не може розв’язати практичних ситуацій</w:t>
            </w:r>
          </w:p>
        </w:tc>
      </w:tr>
      <w:tr w:rsidR="00EB0B15">
        <w:trPr>
          <w:trHeight w:val="49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Умови допуску до підсумкового контролю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B15" w:rsidRDefault="00EB0B15" w:rsidP="00683BDB">
            <w:pPr>
              <w:spacing w:after="0" w:line="10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Підсумковий контроль знань студентів з навчальної дисципліни здійснюється на підставі проведення семестрового </w:t>
            </w:r>
            <w:r w:rsidR="00FC2BA2">
              <w:rPr>
                <w:rFonts w:ascii="Times New Roman" w:hAnsi="Times New Roman"/>
                <w:sz w:val="24"/>
                <w:szCs w:val="24"/>
                <w:lang w:val="uk-UA"/>
              </w:rPr>
              <w:t>екзамену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0B15" w:rsidRDefault="00EB0B15" w:rsidP="00683BDB">
            <w:pPr>
              <w:spacing w:after="0" w:line="10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Умовою допуску до екзамену є виконання всіх обов’язкових видів навчальної роботи передбачених робочою програмою.</w:t>
            </w:r>
          </w:p>
          <w:p w:rsidR="00EB0B15" w:rsidRDefault="00EB0B15">
            <w:pPr>
              <w:spacing w:after="0" w:line="10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Семестровий контроль у вигляді </w:t>
            </w:r>
            <w:r w:rsidR="00FC2BA2">
              <w:rPr>
                <w:rFonts w:ascii="Times New Roman" w:hAnsi="Times New Roman"/>
                <w:sz w:val="24"/>
                <w:szCs w:val="24"/>
                <w:lang w:val="uk-UA"/>
              </w:rPr>
              <w:t>екзамену</w:t>
            </w:r>
            <w:r w:rsidR="00683B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проводиться під час сесії з двома теоретичними </w:t>
            </w:r>
            <w:r w:rsidR="00683B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запитаннями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(по </w:t>
            </w:r>
            <w:r w:rsidR="00FC2BA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 максимум за кожне)</w:t>
            </w:r>
            <w:r w:rsidR="00FC2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одним практичним (10 балів максимум)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Оцінка за результатами вивчення дисципліни формується шляхом додавання підсумкових результатів поточного контролю до </w:t>
            </w:r>
            <w:r w:rsidR="00683BDB">
              <w:rPr>
                <w:rFonts w:ascii="Times New Roman" w:hAnsi="Times New Roman"/>
                <w:sz w:val="24"/>
                <w:szCs w:val="24"/>
                <w:lang w:val="uk-UA"/>
              </w:rPr>
              <w:t>залікової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оцінки. Взаємозв’язок між набраними балами і оцінкою наведений у розділі 12.</w:t>
            </w:r>
          </w:p>
          <w:p w:rsidR="00EB0B15" w:rsidRDefault="00EB0B15" w:rsidP="00683BDB">
            <w:pPr>
              <w:shd w:val="clear" w:color="auto" w:fill="FFFFFF"/>
              <w:spacing w:after="0" w:line="10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випадку повторного складання </w:t>
            </w:r>
            <w:r w:rsidR="00FC2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екзамену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результатами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нездачі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всі набрані протягом семестру бали анулюються, а повторний </w:t>
            </w:r>
            <w:r w:rsidR="00FC2B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екзамен </w:t>
            </w:r>
            <w:r w:rsidR="00FC2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складається з</w:t>
            </w:r>
            <w:r w:rsidR="00683BD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двома теоретичними </w:t>
            </w:r>
            <w:r w:rsidR="00683B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(по </w:t>
            </w:r>
            <w:r w:rsidR="00FC2BA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 максимум за кожне)</w:t>
            </w:r>
            <w:r w:rsidR="00FC2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одним практичним (30 балів максимум).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3B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до </w:t>
            </w:r>
            <w:r w:rsidR="00FC2BA2">
              <w:rPr>
                <w:rFonts w:ascii="Times New Roman" w:hAnsi="Times New Roman"/>
                <w:sz w:val="24"/>
                <w:szCs w:val="24"/>
                <w:lang w:val="uk-UA"/>
              </w:rPr>
              <w:t>екзамену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знаходяться у пакеті документів на дисципліну.</w:t>
            </w:r>
          </w:p>
          <w:p w:rsidR="00EB0B15" w:rsidRDefault="00EB0B15">
            <w:pPr>
              <w:shd w:val="clear" w:color="auto" w:fill="FFFFFF"/>
              <w:spacing w:after="0" w:line="10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випадку,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роботи,</w:t>
            </w:r>
            <w:r w:rsidR="00683B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має невідпрацьовані індивідуальні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роботи, має більше 30% пропусків навчальних занять (без поважних причин) від загального обсягу аудиторних годин відповідної навчальної дисципліни або не набрав мінімально необхідну кількість балів (тобто кількість балів, яка сумарно з максимально можливою кількістю балів, які здобувач вищої освіти може отримати під час семестрового контролю не дозволить отримати підсумкову оцінку «задовільно – Е, 60 балів»), то він не допускається до складання </w:t>
            </w:r>
            <w:r w:rsidR="00FC2BA2">
              <w:rPr>
                <w:rFonts w:ascii="Times New Roman" w:hAnsi="Times New Roman"/>
                <w:sz w:val="24"/>
                <w:szCs w:val="24"/>
                <w:lang w:val="uk-UA"/>
              </w:rPr>
              <w:t>екзамену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семестрового контролю, але має право ліквідувати академічну заборгованість у порядку, передбаченому в розділі 6 «Положення про поточне та підсумкове оцінювання знань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здобувачів вищої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Національного університету “Чернігівська політехніка”».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Повторне складання </w:t>
            </w:r>
            <w:r w:rsidR="00FC2BA2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екзамену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 з метою підвищення позитивної оцінки не дозволяється.</w:t>
            </w:r>
          </w:p>
          <w:p w:rsidR="00EB0B15" w:rsidRDefault="00EB0B15">
            <w:pPr>
              <w:shd w:val="clear" w:color="auto" w:fill="FFFFFF"/>
              <w:spacing w:after="0" w:line="100" w:lineRule="atLeast"/>
              <w:ind w:firstLine="284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EB0B15" w:rsidRDefault="00EB0B15">
      <w:pPr>
        <w:spacing w:line="10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shd w:val="clear" w:color="auto" w:fill="FFFF00"/>
          <w:lang w:val="uk-UA" w:eastAsia="ru-RU"/>
        </w:rPr>
      </w:pPr>
    </w:p>
    <w:p w:rsidR="00EB0B15" w:rsidRDefault="00EB0B1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7. Політики курсу</w:t>
      </w:r>
    </w:p>
    <w:p w:rsidR="00EB0B15" w:rsidRDefault="00EB0B1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</w:pPr>
    </w:p>
    <w:p w:rsidR="00EB0B15" w:rsidRDefault="00EB0B15">
      <w:pPr>
        <w:shd w:val="clear" w:color="auto" w:fill="FFFFFF"/>
        <w:spacing w:after="0" w:line="100" w:lineRule="atLeast"/>
        <w:ind w:firstLine="567"/>
        <w:jc w:val="both"/>
        <w:textAlignment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відвідування занять та виставлення балів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Очікується, що всі ЗВО відвідають лекції і практичні заняття курсу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Враховуються всі бали отримані в ході поточного контролю (усні відповіді, тестування, вирішення задач, </w:t>
      </w:r>
      <w:r w:rsidR="0047334E">
        <w:rPr>
          <w:rFonts w:ascii="Times New Roman" w:hAnsi="Times New Roman"/>
          <w:sz w:val="28"/>
          <w:szCs w:val="28"/>
          <w:lang w:val="uk-UA" w:eastAsia="uk-UA"/>
        </w:rPr>
        <w:t xml:space="preserve">самостійна/індивідуальна робота, модульна контрольна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тощо). </w:t>
      </w:r>
      <w:r>
        <w:rPr>
          <w:rFonts w:ascii="Times New Roman" w:hAnsi="Times New Roman"/>
          <w:sz w:val="28"/>
          <w:szCs w:val="28"/>
          <w:lang w:val="uk-UA"/>
        </w:rPr>
        <w:t>Активна участь у ході практичних та лекційних занять, участь у студентських конференціях, студентських олімпіадах, підготовка наукових публікацій тощо є підставою для нарахування додаткових балів.</w:t>
      </w:r>
    </w:p>
    <w:p w:rsidR="00EB0B15" w:rsidRDefault="00EB0B15">
      <w:pPr>
        <w:shd w:val="clear" w:color="auto" w:fill="FFFFFF"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Недопустимі пропуски та запізнення на заняття; користування мобільними пристроями під час заняття в цілях</w:t>
      </w:r>
      <w:r w:rsidR="00537712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не пов’язаних з навчанням; списування; недотримання строків виконання навчально-наукових завдань тощо.</w:t>
      </w:r>
    </w:p>
    <w:p w:rsidR="00EB0B15" w:rsidRDefault="00EB0B15">
      <w:pPr>
        <w:shd w:val="clear" w:color="auto" w:fill="FFFFFF"/>
        <w:spacing w:after="0" w:line="100" w:lineRule="atLeast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об’єктивних причин (наприклад, </w:t>
      </w:r>
      <w:r w:rsidR="0053771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військовий стан,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карантин, хвороба, міжнародне стажування) навчання може відбуватись дистанційно за погодженням із деканатом та викладачем, що читає курс.</w:t>
      </w:r>
    </w:p>
    <w:p w:rsidR="00EB0B15" w:rsidRPr="00537712" w:rsidRDefault="00EB0B1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Загальні засади освітнього процесу в НУ «Чернігівська політехніка»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закріплені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Положенням про організацію освітнього процесу в Національному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університеті «Чернігівська політехніка,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Вченою радою від 31.08.2020 </w:t>
      </w:r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hyperlink r:id="rId7" w:history="1">
        <w:r w:rsidRPr="00537712">
          <w:rPr>
            <w:rFonts w:ascii="Times New Roman" w:hAnsi="Times New Roman"/>
            <w:color w:val="000000"/>
            <w:sz w:val="28"/>
            <w:szCs w:val="28"/>
            <w:lang w:val="uk-UA"/>
          </w:rPr>
          <w:t>https://www.stu.cn.ua/media/files/pdf/nzop/p-org-osp.pdf</w:t>
        </w:r>
      </w:hyperlink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 xml:space="preserve">  ) та Положенням про дистанційне навчання в Національному університеті «Чернігівська політехніка», </w:t>
      </w:r>
      <w:proofErr w:type="spellStart"/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>затв</w:t>
      </w:r>
      <w:proofErr w:type="spellEnd"/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>. Вченою радою 31.08.2020 (</w:t>
      </w:r>
      <w:hyperlink r:id="rId8" w:history="1">
        <w:r w:rsidRPr="00537712">
          <w:rPr>
            <w:rFonts w:ascii="Times New Roman" w:hAnsi="Times New Roman"/>
            <w:color w:val="000000"/>
            <w:sz w:val="28"/>
            <w:szCs w:val="28"/>
            <w:lang w:val="uk-UA"/>
          </w:rPr>
          <w:t>https://www.stu.cn.ua/media/files/pdf/nzop/p-dis-n.pdf</w:t>
        </w:r>
      </w:hyperlink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 xml:space="preserve"> ).</w:t>
      </w:r>
    </w:p>
    <w:p w:rsidR="00EB0B15" w:rsidRDefault="00EB0B15">
      <w:pPr>
        <w:shd w:val="clear" w:color="auto" w:fill="FFFFFF"/>
        <w:spacing w:after="0" w:line="100" w:lineRule="atLeast"/>
        <w:ind w:firstLine="567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перескладання пропущених занять</w:t>
      </w:r>
    </w:p>
    <w:p w:rsidR="00EB0B15" w:rsidRPr="00537712" w:rsidRDefault="00EB0B15">
      <w:pPr>
        <w:shd w:val="clear" w:color="auto" w:fill="FFFFFF"/>
        <w:spacing w:after="0" w:line="100" w:lineRule="atLeast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Пропущені практичні заняття відпрацьовуються ЗВО впродовж тижня після пропуску. Графік індивідуального відпрацювання пропущених занять узгоджується з викладачем. Відпрацювання практичних занять здійснюється як в усній формі, так і в письмовій (вирішення задач, рішення тестів).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Письмові роботи, які здаються із порушенням термінів без поважних причин, оцінюються на нижчу оцінку.</w:t>
      </w:r>
      <w:r>
        <w:rPr>
          <w:rFonts w:ascii="Times New Roman" w:hAnsi="Times New Roman"/>
          <w:sz w:val="28"/>
          <w:szCs w:val="28"/>
          <w:lang w:val="uk-UA"/>
        </w:rPr>
        <w:t xml:space="preserve"> ЗВО, які не відпрацювали пропущених занять, не здали модульних контролів, не виконали контрольної роботи до здачі заліку не </w:t>
      </w:r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>допускаються.</w:t>
      </w:r>
    </w:p>
    <w:p w:rsidR="00EB0B15" w:rsidRPr="00537712" w:rsidRDefault="00EB0B1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Основні принципи організації поточного й підсумкового контролю знань студентів визначаються Положенням про поточне та підсумкове оцінювання знань здобувачів вищої освіти в Національному університеті «Чернігівська політехніка», </w:t>
      </w:r>
      <w:proofErr w:type="spellStart"/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>затв</w:t>
      </w:r>
      <w:proofErr w:type="spellEnd"/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>. Вченою радою 31.08.2020 (</w:t>
      </w:r>
      <w:hyperlink r:id="rId9" w:history="1">
        <w:r w:rsidRPr="00537712">
          <w:rPr>
            <w:rFonts w:ascii="Times New Roman" w:hAnsi="Times New Roman"/>
            <w:color w:val="000000"/>
            <w:sz w:val="28"/>
            <w:szCs w:val="28"/>
            <w:lang w:val="uk-UA"/>
          </w:rPr>
          <w:t>https://www.stu.cn.ua/media/files/pdf/nzop/p-ppocin.pdf</w:t>
        </w:r>
      </w:hyperlink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 xml:space="preserve"> ).</w:t>
      </w:r>
    </w:p>
    <w:p w:rsidR="00EB0B15" w:rsidRDefault="00EB0B15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Політика академічної доброчесності</w:t>
      </w:r>
    </w:p>
    <w:p w:rsidR="00EB0B15" w:rsidRPr="00537712" w:rsidRDefault="00EB0B15" w:rsidP="00537712">
      <w:pPr>
        <w:shd w:val="clear" w:color="auto" w:fill="FFFFFF"/>
        <w:spacing w:after="0" w:line="100" w:lineRule="atLeast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дотримання академічної доброчесності учасниками </w:t>
      </w:r>
      <w:proofErr w:type="spellStart"/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>освітньо</w:t>
      </w:r>
      <w:proofErr w:type="spellEnd"/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>-наукового процесу урегульоване Кодексом академічної доброчесності Національного університету «Чернігівська політехніка» (</w:t>
      </w:r>
      <w:hyperlink r:id="rId10" w:history="1">
        <w:r w:rsidRPr="00537712">
          <w:rPr>
            <w:rFonts w:ascii="Times New Roman" w:hAnsi="Times New Roman"/>
            <w:color w:val="000000"/>
            <w:sz w:val="28"/>
            <w:szCs w:val="28"/>
            <w:lang w:val="uk-UA"/>
          </w:rPr>
          <w:t>https://www.stu.cn.ua/media/files/pdf/nzop/p-yakist-kodex.pdf</w:t>
        </w:r>
      </w:hyperlink>
      <w:r w:rsidRPr="00537712">
        <w:rPr>
          <w:rFonts w:ascii="Times New Roman" w:hAnsi="Times New Roman"/>
          <w:color w:val="000000"/>
          <w:sz w:val="28"/>
          <w:szCs w:val="28"/>
          <w:lang w:val="uk-UA"/>
        </w:rPr>
        <w:t xml:space="preserve"> )</w:t>
      </w:r>
    </w:p>
    <w:p w:rsidR="00EB0B15" w:rsidRDefault="00EB0B15">
      <w:pPr>
        <w:shd w:val="clear" w:color="auto" w:fill="FFFFFF"/>
        <w:spacing w:after="0" w:line="100" w:lineRule="atLeast"/>
        <w:ind w:firstLine="567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академічної доброчесності здобувачами вищої освіти передбачає:</w:t>
      </w:r>
    </w:p>
    <w:p w:rsidR="00EB0B15" w:rsidRDefault="00EB0B15" w:rsidP="00537712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самостійне виконання навчальних завдань, завдань поточного та підсумкового контролю (для осіб з особливими освітніми потребами ця вимога застосовується з урахуванням їх індивідуальних потреб і можливостей);</w:t>
      </w:r>
    </w:p>
    <w:p w:rsidR="00EB0B15" w:rsidRDefault="00EB0B15" w:rsidP="00537712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посилання на джерела інформації в разі використання ідей, розробок, тверджень, відомостей;</w:t>
      </w:r>
    </w:p>
    <w:p w:rsidR="00EB0B15" w:rsidRDefault="00EB0B15" w:rsidP="00537712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дотримання норм законодавства про авторське право і суміжні права;</w:t>
      </w:r>
    </w:p>
    <w:p w:rsidR="00EB0B15" w:rsidRPr="00537712" w:rsidRDefault="00EB0B15" w:rsidP="00537712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 </w:t>
      </w:r>
    </w:p>
    <w:p w:rsidR="00EB0B15" w:rsidRDefault="00EB0B15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Очікується, що ЗВО будуть дотримуватися принципів академічної доброчесності, усвідомлюючи наслідки її порушення.</w:t>
      </w:r>
    </w:p>
    <w:p w:rsidR="00EB0B15" w:rsidRDefault="00EB0B15">
      <w:pPr>
        <w:spacing w:after="0" w:line="10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види письмових робіт ЗВО проходять перевірку на плагіат. У разі виявлення ідентичних робіт, усі вони не зараховуються, у т.ч. ті, які були вже захищені. Підставою є несамостійний характер виконання письмової роботи.</w:t>
      </w:r>
    </w:p>
    <w:p w:rsidR="00EB0B15" w:rsidRPr="009C56DA" w:rsidRDefault="00EB0B1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C56DA">
        <w:rPr>
          <w:rFonts w:ascii="Times New Roman" w:hAnsi="Times New Roman"/>
          <w:b/>
          <w:color w:val="000000"/>
          <w:sz w:val="28"/>
          <w:szCs w:val="28"/>
          <w:lang w:val="uk-UA"/>
        </w:rPr>
        <w:t>Політика перезарахування кредитів</w:t>
      </w:r>
    </w:p>
    <w:p w:rsidR="00EB0B15" w:rsidRPr="009C56DA" w:rsidRDefault="00EB0B15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Правила перезарахування кредитів у випадку мобільності ЗВО регулюються </w:t>
      </w:r>
      <w:r w:rsidRPr="009C56DA">
        <w:rPr>
          <w:rFonts w:ascii="Times New Roman" w:hAnsi="Times New Roman"/>
          <w:sz w:val="28"/>
          <w:szCs w:val="28"/>
          <w:lang w:val="uk-UA"/>
        </w:rPr>
        <w:t xml:space="preserve">Положенням про академічну мобільність учасників освітнього процесу Національного університету «Чернігівська політехніка»,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затв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Вченою радою 31.08.2020 (</w:t>
      </w:r>
      <w:hyperlink r:id="rId11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https://www.stu.cn.ua/media/files/pdf/nzop/p-akad-mob.pdf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).</w:t>
      </w:r>
    </w:p>
    <w:p w:rsidR="00EB0B15" w:rsidRDefault="00EB0B15" w:rsidP="005377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020F" w:rsidRDefault="0022020F" w:rsidP="005377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020F" w:rsidRDefault="0022020F" w:rsidP="005377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020F" w:rsidRDefault="0022020F" w:rsidP="005377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020F" w:rsidRDefault="0022020F" w:rsidP="005377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020F" w:rsidRDefault="0022020F" w:rsidP="005377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020F" w:rsidRPr="009C56DA" w:rsidRDefault="0022020F" w:rsidP="005377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B0B15" w:rsidRPr="009C56DA" w:rsidRDefault="00EB0B15" w:rsidP="005377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9C56DA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8. Рекомендована література</w:t>
      </w:r>
    </w:p>
    <w:p w:rsidR="00EB0B15" w:rsidRPr="009C56DA" w:rsidRDefault="00EB0B15" w:rsidP="005377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</w:p>
    <w:p w:rsidR="00537712" w:rsidRPr="009C56DA" w:rsidRDefault="00537712" w:rsidP="00537712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9C56DA">
        <w:rPr>
          <w:rFonts w:ascii="Times New Roman" w:hAnsi="Times New Roman"/>
          <w:b/>
          <w:sz w:val="28"/>
          <w:szCs w:val="28"/>
          <w:lang w:val="uk-UA"/>
        </w:rPr>
        <w:t>А. Нормативно-правові акти</w:t>
      </w:r>
    </w:p>
    <w:p w:rsidR="00537712" w:rsidRPr="009C56DA" w:rsidRDefault="00537712" w:rsidP="0053771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Конституція України, прийнята на п'ятій сесії Верховної Ради України 28 червня 1996 року, із змінами і доповненнями. URL: </w:t>
      </w:r>
      <w:hyperlink r:id="rId12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https://www.president.gov.ua/documents/constitution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(дата звернення: 17.02.2020).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>Декларація про захист усіх осіб від катувань та інших жорстоких, нелюдських або таких, що принижують гідність, видів поводження і покарання: Резолюція Генеральної Асамблеї ООН від 9 грудня 1975 р. № 3452 (XXX). URL: </w:t>
      </w:r>
      <w:hyperlink r:id="rId13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https://zakon.rada.gov.ua/laws/show/995_084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(дата звернення: 20.04.2020).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>Конвенція проти катувань та інших жорстоких, нелюдських або таких, що принижують гідність, видів поводження і покарання: Резолюція Генеральної Асамблеї ООН від 10 грудня 1984 р. № 39/46. Ратифікована: Указ Президії Верховної Ради УРСР від 26.01.87 р. № 3484-11. URL: </w:t>
      </w:r>
      <w:hyperlink r:id="rId14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https://zakon.rada.gov.ua/laws/show/995_085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(дата звернення: 21.04.2020).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Европейская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Конвенция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защите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прав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человека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основных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свобод от 4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ноября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1950 г.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Российская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газета. 1995. 5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апреля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Европейская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Конвенция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против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пыток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бесчеловечного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унижающего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достоинство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обращения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наказания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от 10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декабря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1984 г.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Российская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газета. 1995. 5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апреля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Минимальные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стандартные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правила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Организации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Объединенных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Наций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отношении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обращения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заключенными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(Правила Нельсона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Манделы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):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Резолюция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Генеральной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Ассамблеи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ООН от 17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декабря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2015 г. № 70/175. URL: </w:t>
      </w:r>
      <w:hyperlink r:id="rId15" w:history="1">
        <w:r w:rsidRPr="009C56DA">
          <w:rPr>
            <w:rFonts w:ascii="Times New Roman" w:hAnsi="Times New Roman"/>
            <w:sz w:val="28"/>
            <w:szCs w:val="28"/>
            <w:lang w:val="uk-UA"/>
          </w:rPr>
          <w:t xml:space="preserve">ht </w:t>
        </w:r>
        <w:hyperlink r:id="rId16" w:history="1">
          <w:r w:rsidRPr="009C56DA">
            <w:rPr>
              <w:rFonts w:ascii="Times New Roman" w:hAnsi="Times New Roman"/>
              <w:sz w:val="28"/>
              <w:szCs w:val="28"/>
              <w:lang w:val="uk-UA"/>
            </w:rPr>
            <w:t>http://www.unodc.org/documents/justice-and-prison-reform/SMRbrochures/UN_Standard_Minimum_Rules_for_the_Treatment_of_Prisoners_the_Nelson_Mandela_Rules-R.pdf</w:t>
          </w:r>
        </w:hyperlink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(дата звернення 3.04.2020).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Recommendation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Rec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(2006)2-rev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Committee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Ministers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member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States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Prison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Rules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Adopted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Committee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Ministers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11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January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2006,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952nd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meeting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Ministers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'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Deputies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revised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amended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Committee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Ministers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1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July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2020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1380th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meeting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Ministers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'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Deputies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URL: </w:t>
      </w:r>
      <w:hyperlink r:id="rId17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https://search.coe.int/cm/Pages/result_details.aspx?ObjectId=09000016809ee581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(дата звернення: 16.09.2022).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Кодекс поведінки службовців органів правопорядку: затверджений резолюцією Генеральної Асамблеї ООН від 17 грудня 1979 р. № 34/169. URL: </w:t>
      </w:r>
      <w:hyperlink r:id="rId18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http://pravo.org.ua/files/Criminal%20justice/PS_05__4_2_001.pdf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(дата звернення: 11.10. 2019).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Звід принципів захисту всіх осіб, які піддаються затриманню або ув’язненню в будь-якій формі: Резолюція 43/173 Генеральної Асамблеї ООН від </w:t>
      </w:r>
      <w:r w:rsidRPr="009C56DA">
        <w:rPr>
          <w:rFonts w:ascii="Times New Roman" w:hAnsi="Times New Roman"/>
          <w:sz w:val="28"/>
          <w:szCs w:val="28"/>
          <w:lang w:val="uk-UA"/>
        </w:rPr>
        <w:lastRenderedPageBreak/>
        <w:t>9 грудня 1988 року. URL: http://zakon4.rada.gov.ua/laws/show/995_206 (дата звернення: 11.10. 2019).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Основные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применения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силы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огнестрельного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оружия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должностными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лицами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поддержанию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правопорядка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приняты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7-го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сентября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1990г. 8-м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Конгрессом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ООН по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предупреждению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преступности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обращению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правонарушителями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URL: </w:t>
      </w:r>
      <w:hyperlink r:id="rId19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http://www.hri.ru/docs/?content=doc&amp;id=53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(дата звернення: 11.10. 2019). 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Рекомендація № R (2012) 5 Комітету Міністрів державам – членам Ради Європи щодо Європейського Кодексу етики працівників пенітенціарних установ: ухвалена 12 квітня 2012 р. URL: </w:t>
      </w:r>
      <w:hyperlink r:id="rId20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http://www.kvs.gov.ua/peniten/control/main/uk/publish/article/637791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(дата звернення: 16.10.2019).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Кодекс етики та службової поведінки персоналу Державної кримінально–виконавчої служби України: схвалений 19 грудня 2012 р. URL: </w:t>
      </w:r>
      <w:hyperlink r:id="rId21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http://ukrprison.org.ua/index.php?id=1367145079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(дата звернення: 11.10.2019).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bookmark134"/>
      <w:bookmarkStart w:id="3" w:name="bookmark133"/>
      <w:r w:rsidRPr="009C56DA">
        <w:rPr>
          <w:rFonts w:ascii="Times New Roman" w:hAnsi="Times New Roman"/>
          <w:sz w:val="28"/>
          <w:szCs w:val="28"/>
          <w:lang w:val="uk-UA"/>
        </w:rPr>
        <w:t>Кримінально-виконавчий кодекс України: закон України від 11.06.2003 № 1129-IV. URL: </w:t>
      </w:r>
      <w:hyperlink r:id="rId22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http://zakon.rada/gov.ua/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laws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show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/1129-15 #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Text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(дата звернення: 15.11.2022).</w:t>
      </w:r>
      <w:bookmarkEnd w:id="2"/>
      <w:bookmarkEnd w:id="3"/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bookmark136"/>
      <w:bookmarkStart w:id="5" w:name="bookmark135"/>
      <w:r w:rsidRPr="009C56DA">
        <w:rPr>
          <w:rFonts w:ascii="Times New Roman" w:hAnsi="Times New Roman"/>
          <w:sz w:val="28"/>
          <w:szCs w:val="28"/>
          <w:lang w:val="uk-UA"/>
        </w:rPr>
        <w:t>Кримінальний кодекс України: закон України від</w:t>
      </w:r>
      <w:bookmarkEnd w:id="4"/>
      <w:bookmarkEnd w:id="5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" w:name="bookmark137"/>
      <w:r w:rsidRPr="009C56DA">
        <w:rPr>
          <w:rFonts w:ascii="Times New Roman" w:hAnsi="Times New Roman"/>
          <w:sz w:val="28"/>
          <w:szCs w:val="28"/>
          <w:lang w:val="uk-UA"/>
        </w:rPr>
        <w:t>05.04.2001 № 2341-III</w:t>
      </w:r>
      <w:bookmarkStart w:id="7" w:name="bookmark140"/>
      <w:bookmarkStart w:id="8" w:name="bookmark139"/>
      <w:bookmarkStart w:id="9" w:name="bookmark138"/>
      <w:bookmarkEnd w:id="6"/>
      <w:r w:rsidRPr="009C56DA">
        <w:rPr>
          <w:rFonts w:ascii="Times New Roman" w:hAnsi="Times New Roman"/>
          <w:sz w:val="28"/>
          <w:szCs w:val="28"/>
          <w:lang w:val="uk-UA"/>
        </w:rPr>
        <w:t xml:space="preserve">. URL:  </w:t>
      </w:r>
      <w:hyperlink r:id="rId23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http://zakon.rada/gov.ua/laws/show/2341-14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>#Text (дата</w:t>
      </w:r>
      <w:bookmarkEnd w:id="7"/>
      <w:bookmarkEnd w:id="8"/>
      <w:bookmarkEnd w:id="9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" w:name="bookmark142"/>
      <w:bookmarkStart w:id="11" w:name="bookmark141"/>
      <w:r w:rsidRPr="009C56DA">
        <w:rPr>
          <w:rFonts w:ascii="Times New Roman" w:hAnsi="Times New Roman"/>
          <w:sz w:val="28"/>
          <w:szCs w:val="28"/>
          <w:lang w:val="uk-UA"/>
        </w:rPr>
        <w:t>звернення: 15.11.2022).</w:t>
      </w:r>
      <w:bookmarkEnd w:id="10"/>
      <w:bookmarkEnd w:id="11"/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>Кримінальний процесуальний кодекс України : закон України від 13.04.2012 р. URL: http://zakon.rada.gov.ua/laws/show/4651-17#Text (дата звернення: 10.12.2022).</w:t>
      </w:r>
    </w:p>
    <w:p w:rsidR="00FC2BA2" w:rsidRPr="009C56DA" w:rsidRDefault="00FC2BA2" w:rsidP="00FC2BA2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bookmark143"/>
      <w:r w:rsidRPr="009C56DA">
        <w:rPr>
          <w:rFonts w:ascii="Times New Roman" w:hAnsi="Times New Roman"/>
          <w:sz w:val="28"/>
          <w:szCs w:val="28"/>
          <w:lang w:val="uk-UA"/>
        </w:rPr>
        <w:t>Про Державну кримінально-виконавчу службу</w:t>
      </w:r>
      <w:bookmarkEnd w:id="12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" w:name="bookmark144"/>
      <w:r w:rsidRPr="009C56DA">
        <w:rPr>
          <w:rFonts w:ascii="Times New Roman" w:hAnsi="Times New Roman"/>
          <w:sz w:val="28"/>
          <w:szCs w:val="28"/>
          <w:lang w:val="uk-UA"/>
        </w:rPr>
        <w:t>України: закон України : від 23.06.2005 № 27134V</w:t>
      </w:r>
      <w:bookmarkEnd w:id="13"/>
      <w:r w:rsidRPr="009C56DA">
        <w:rPr>
          <w:rFonts w:ascii="Times New Roman" w:hAnsi="Times New Roman"/>
          <w:sz w:val="28"/>
          <w:szCs w:val="28"/>
          <w:lang w:val="uk-UA"/>
        </w:rPr>
        <w:t>. URL: </w:t>
      </w:r>
      <w:hyperlink r:id="rId24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http://zakon.rada.gov.ua/laws/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show/2713-15/parao12#o12#Text (дата звернення: 15.11.2022). </w:t>
      </w:r>
    </w:p>
    <w:p w:rsidR="00537712" w:rsidRPr="009C56DA" w:rsidRDefault="00537712" w:rsidP="00537712">
      <w:pPr>
        <w:pStyle w:val="1b"/>
        <w:tabs>
          <w:tab w:val="left" w:pos="993"/>
          <w:tab w:val="left" w:pos="1322"/>
        </w:tabs>
        <w:ind w:firstLine="426"/>
        <w:jc w:val="both"/>
        <w:rPr>
          <w:sz w:val="28"/>
          <w:szCs w:val="28"/>
        </w:rPr>
      </w:pPr>
    </w:p>
    <w:p w:rsidR="00537712" w:rsidRPr="009C56DA" w:rsidRDefault="00537712" w:rsidP="00537712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9C56DA">
        <w:rPr>
          <w:rFonts w:ascii="Times New Roman" w:hAnsi="Times New Roman"/>
          <w:b/>
          <w:sz w:val="28"/>
          <w:szCs w:val="28"/>
          <w:lang w:val="uk-UA"/>
        </w:rPr>
        <w:t>Б. Базова</w:t>
      </w:r>
    </w:p>
    <w:p w:rsidR="00FC2BA2" w:rsidRPr="009C56DA" w:rsidRDefault="00FC2BA2" w:rsidP="00FC2BA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Антон ван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Кальмтоут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Пробація та служби пробації в країнах – кандидатах у члени ЄС / Антон ван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Кальмтоут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, Робертс Д., Віндінг С. Київ 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Атіка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, 2005. 448 с.</w:t>
      </w:r>
    </w:p>
    <w:p w:rsidR="00FC2BA2" w:rsidRPr="009C56DA" w:rsidRDefault="00FC2BA2" w:rsidP="00FC2BA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Бехруз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 Х. Н.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Методологические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вопросы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сравнительного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правоведения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Київ , Сімферополь 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-т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гос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и права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 В. М.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Корецкого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НАН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-во «Логос», 2007. 32 с.</w:t>
      </w:r>
    </w:p>
    <w:p w:rsidR="00FC2BA2" w:rsidRPr="009C56DA" w:rsidRDefault="00FC2BA2" w:rsidP="00FC2BA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Богатирьов І. Г.,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Копотун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 І. М.,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Пузирьов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 М. С. Порівняльне кримінально-виконавче право 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посібник / за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ред. І. Г. Богатирьова. Київ :  Інститут кримінально-виконавчої служби, 2013. 140 с.</w:t>
      </w:r>
    </w:p>
    <w:p w:rsidR="00FC2BA2" w:rsidRPr="009C56DA" w:rsidRDefault="00FC2BA2" w:rsidP="00FC2BA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Богунов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 С. О. Пенітенціарні системи України та Норвегії : порівняльно-правовий аналіз : посібник / за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ред. О. М.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Джужі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Київ : Державна пенітенціарна служба України, 2012. 52 с.</w:t>
      </w:r>
    </w:p>
    <w:p w:rsidR="00FC2BA2" w:rsidRPr="009C56DA" w:rsidRDefault="00FC2BA2" w:rsidP="00FC2BA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Гель А. П. Кримінально-виконавче право України 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посібник / Гель А. П.,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Семаков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 Г. С.,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Яковець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 І. С. ; за ред. проф. А. Х. Степанюка. Київ : Юрінком Інтер, 2008. 624 с.</w:t>
      </w:r>
    </w:p>
    <w:p w:rsidR="00FC2BA2" w:rsidRPr="009C56DA" w:rsidRDefault="00FC2BA2" w:rsidP="00FC2BA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lastRenderedPageBreak/>
        <w:t xml:space="preserve">Державна пенітенціарна служба: історія та сучасність / за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заг.ред.канд.юрид.наук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О.В.Лісіцкова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Київ : Державна пенітенціарна служба України, 2013. 268 с.</w:t>
      </w:r>
    </w:p>
    <w:p w:rsidR="00FC2BA2" w:rsidRPr="009C56DA" w:rsidRDefault="00FC2BA2" w:rsidP="00FC2BA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Кримінально-виконавче право України: (Загальна та Особлива частини):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/ О.М.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Джужа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, С.Я.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Фаренюк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, В.О. Корчинський та ін.; За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ред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О.М.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Джужи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2-е вид., перероб. та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Київ : Юрінком-Інтер, 2002. 448 с.</w:t>
      </w:r>
    </w:p>
    <w:p w:rsidR="00FC2BA2" w:rsidRPr="009C56DA" w:rsidRDefault="00FC2BA2" w:rsidP="00FC2BA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Обзор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законодательства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скандинавских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балтийских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стран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службе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пробации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уголовному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надзору).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Серия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«Права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человека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». Санкт-Петербург : Санкт-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Петербургская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общественная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правозащитная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организация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Гражданский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контроль», 2005. 243 с.</w:t>
      </w:r>
    </w:p>
    <w:p w:rsidR="00FC2BA2" w:rsidRPr="009C56DA" w:rsidRDefault="00FC2BA2" w:rsidP="00FC2BA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>Савченко А. В. Кримінальне законодавство України та федеральне кримінальне законодавство Сполучених Штатів Америки : комплексне порівняльно-правове дослідження : монографія. Київ : КНТ, 2007. 594 с.</w:t>
      </w:r>
    </w:p>
    <w:p w:rsidR="00FC2BA2" w:rsidRPr="009C56DA" w:rsidRDefault="00FC2BA2" w:rsidP="00FC2BA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Ягунов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Д.В. Заборона катувань: практика Європейського суду з прав людини та стандарти Європейського комітету з питань запобігання катуванню чи нелюдським або таким, що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приніжує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гідність, поводження чи покаранню; за ред. А.Є.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Костіна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, зі вступ.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cловами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Й.Л. Бронза, М.М.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Гнатовського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, А.О.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Кориневича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, А.Є.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Костіна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, Г.А.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Мамедова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Одеса : Фенікс, 2021. 370 с.</w:t>
      </w:r>
    </w:p>
    <w:p w:rsidR="00FC2BA2" w:rsidRPr="009C56DA" w:rsidRDefault="00FC2BA2" w:rsidP="00FC2BA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Ягунов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Д.В. Пенітенціарна система України: історичний розвиток, сучасні проблеми та перспективи реформування : монографія /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Д.В.Ягунов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; Державна пенітенціарна служба України. 4-те вид.,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перероб.та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Одеса 6 Фенікс, 2011. 446с.</w:t>
      </w:r>
    </w:p>
    <w:p w:rsidR="00537712" w:rsidRPr="009C56DA" w:rsidRDefault="00537712" w:rsidP="00537712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537712" w:rsidRPr="009C56DA" w:rsidRDefault="00537712" w:rsidP="00537712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9C56DA">
        <w:rPr>
          <w:rFonts w:ascii="Times New Roman" w:hAnsi="Times New Roman"/>
          <w:b/>
          <w:sz w:val="28"/>
          <w:szCs w:val="28"/>
          <w:lang w:val="uk-UA"/>
        </w:rPr>
        <w:t>В. Допоміжна</w:t>
      </w:r>
    </w:p>
    <w:p w:rsidR="00537712" w:rsidRPr="009C56DA" w:rsidRDefault="00537712" w:rsidP="00537712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Gale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W.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Legislative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drafting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: a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approach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: a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compara</w:t>
      </w:r>
      <w:r w:rsidRPr="009C56DA">
        <w:rPr>
          <w:rFonts w:ascii="Times New Roman" w:hAnsi="Times New Roman"/>
          <w:sz w:val="28"/>
          <w:szCs w:val="28"/>
          <w:lang w:val="uk-UA"/>
        </w:rPr>
        <w:softHyphen/>
        <w:t>tive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France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Germany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Sweden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United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Kingdom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/ W.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Dale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L. 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Butterworths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, 1977. 341 p.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Elliot С. &amp; Quinn F., (2000),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London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, 94 p.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Oxford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companion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American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, (2002).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Edited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Kermit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L.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Hall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Oxford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University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Press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Swedish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Penal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Code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, (1999).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Stockholm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, 182 p.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Van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Kalmthout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A. M., (2005).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Probation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Probation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Services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 : a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perspective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25" w:anchor="TopOfPage" w:tgtFrame="_top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Conference on Probation and Aftercare (14–16 November, Istanbul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>).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Whitfield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Dick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, (2001).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Introduction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Probation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Service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Winchester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 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Reprint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234 p.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Калашник Н. Г., Олійник Ю. О. Пробація – забезпечення національної безпеки новими методами. </w:t>
      </w:r>
      <w:r w:rsidRPr="009C56DA">
        <w:rPr>
          <w:rFonts w:ascii="Times New Roman" w:hAnsi="Times New Roman"/>
          <w:i/>
          <w:sz w:val="28"/>
          <w:szCs w:val="28"/>
          <w:lang w:val="uk-UA"/>
        </w:rPr>
        <w:t>Практика виконання альтернативних покарань (</w:t>
      </w:r>
      <w:proofErr w:type="spellStart"/>
      <w:r w:rsidRPr="009C56DA">
        <w:rPr>
          <w:rFonts w:ascii="Times New Roman" w:hAnsi="Times New Roman"/>
          <w:i/>
          <w:sz w:val="28"/>
          <w:szCs w:val="28"/>
          <w:lang w:val="uk-UA"/>
        </w:rPr>
        <w:t>пенологічні</w:t>
      </w:r>
      <w:proofErr w:type="spellEnd"/>
      <w:r w:rsidRPr="009C56DA">
        <w:rPr>
          <w:rFonts w:ascii="Times New Roman" w:hAnsi="Times New Roman"/>
          <w:i/>
          <w:sz w:val="28"/>
          <w:szCs w:val="28"/>
          <w:lang w:val="uk-UA"/>
        </w:rPr>
        <w:t xml:space="preserve"> та правові аспекти).</w:t>
      </w:r>
      <w:r w:rsidRPr="009C56DA">
        <w:rPr>
          <w:rFonts w:ascii="Times New Roman" w:hAnsi="Times New Roman"/>
          <w:sz w:val="28"/>
          <w:szCs w:val="28"/>
          <w:lang w:val="uk-UA"/>
        </w:rPr>
        <w:t xml:space="preserve"> 2008. № 1. С. 4–5.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Кулик О. Г. Пробація. Юридична енциклопедія: В 6 т. /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 : Ю. С.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Шемшученко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(голова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.) та ін. Т. 5. Київ : Укр.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енцикл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., 2003. С. 146–147.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lastRenderedPageBreak/>
        <w:t xml:space="preserve">Лисодєд О., Степанюк А. Покарання та громадські санкції у діяльності Служби тюрем і пробації Швеції. </w:t>
      </w:r>
      <w:r w:rsidRPr="009C56DA">
        <w:rPr>
          <w:rFonts w:ascii="Times New Roman" w:hAnsi="Times New Roman"/>
          <w:i/>
          <w:sz w:val="28"/>
          <w:szCs w:val="28"/>
          <w:lang w:val="uk-UA"/>
        </w:rPr>
        <w:t>Вісник Академії правових наук України</w:t>
      </w:r>
      <w:r w:rsidRPr="009C56DA">
        <w:rPr>
          <w:rFonts w:ascii="Times New Roman" w:hAnsi="Times New Roman"/>
          <w:sz w:val="28"/>
          <w:szCs w:val="28"/>
          <w:lang w:val="uk-UA"/>
        </w:rPr>
        <w:t>. 2003. № 4 (35). С. 99–109.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Лисодєд О., Степанюк А. Умови відбування покарання у тюрмах Швеції. </w:t>
      </w:r>
      <w:r w:rsidRPr="009C56DA">
        <w:rPr>
          <w:rFonts w:ascii="Times New Roman" w:hAnsi="Times New Roman"/>
          <w:i/>
          <w:sz w:val="28"/>
          <w:szCs w:val="28"/>
          <w:lang w:val="uk-UA"/>
        </w:rPr>
        <w:t>Вісник прокуратури</w:t>
      </w:r>
      <w:r w:rsidRPr="009C56DA">
        <w:rPr>
          <w:rFonts w:ascii="Times New Roman" w:hAnsi="Times New Roman"/>
          <w:sz w:val="28"/>
          <w:szCs w:val="28"/>
          <w:lang w:val="uk-UA"/>
        </w:rPr>
        <w:t>. 2003. № 6(24). С. 111–116.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Льовочкін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 В. А. Нормативно-правові та організаційні засади забезпечення реалізації в Україні міжнародних стандартів з прав і свобод засуджених до позбавлення волі : дис. … канд.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наук : 12.00.08 /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Льовочкін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Володимир Анатолійович. Київ : 2002. 196 с.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Мостепанюк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 Л. О. Довічне позбавлення волі як вид кримінального покарання : дис. … канд.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наук : 12.00.08 /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Мостепанюк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Людмила Олександрівна. Київ : 2005. 194 с.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Пересмотренные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Европейские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пенитенциарные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правила: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новые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указания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пенитенциарных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служб по гуманному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обращению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заключенными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URL: </w:t>
      </w:r>
      <w:hyperlink r:id="rId26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https://www.coe.int/ru/web/portal/-/revised-european-prison-rules-new-guidance-to-prison-services-on-humane-treatment-of-inmates</w:t>
        </w:r>
      </w:hyperlink>
      <w:r w:rsidRPr="009C56DA">
        <w:rPr>
          <w:rFonts w:ascii="Times New Roman" w:hAnsi="Times New Roman"/>
          <w:sz w:val="28"/>
          <w:szCs w:val="28"/>
          <w:lang w:val="uk-UA"/>
        </w:rPr>
        <w:t xml:space="preserve"> (дата звернення: 18.09.2022).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Пенітенціарна теорія і практика та права людини 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.-метод. посібник: для здобувачів вищої освіти ступеня д-ра філософії, спец. – 081 «Право» / О.В. Дикий, М.О.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Д’ячкова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, В.Г. Пожар та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інш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. / НУ «ОЮА».  Одеса : Фенікс, 2021. 43 с. 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Савченко А. В. Порівняльний аналіз кримінального законодавства України та федерального кримінального законодавства Сполучених Штатів Америки : дис. … доктора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наук : 12.00.08 / Савченко Андрій Володимирович. Київ : 2007. 616 с.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Свірець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 xml:space="preserve"> В.В. Організаційно-правове забезпечення реформування пенітенціарної системи України. дис. ... канд.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наук: 12.00.08 / Дніпр. ун-т внутр. справ. Дніпро, 2021. 210 с.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>Седик Ю. Підтримка пенітенціарної реформи в Україні : працюємо разом, щоб сприяти змінам. Швейцарсько-український проект : висновки та рекомендації (січень 2009 – квітень 2012) / Ю.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Седик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, В. 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Сергеєва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Київ : Швейцарське бюро співробітництва в Україні, 2012. 40 с.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>Хавронюк М. І. Кримінальне законодавство України та інших держав континентальної Європи : порівняльний аналіз, проблеми гармонізації : монографія. Київ : Юрисконсульт, 2006. 1048 с.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>Хавронюк М. І. Сучасне загальноєвропейське кримінальне законодавство : проблеми гармонізації : монографія / Хавронюк М. І. Київ : Істина, 2005. 264 с.</w:t>
      </w:r>
    </w:p>
    <w:p w:rsidR="009C56DA" w:rsidRPr="009C56DA" w:rsidRDefault="009C56DA" w:rsidP="009C56DA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Яцишин М.М. Історико-правові засади кримінально-виконавчої політики України: монографія. Луцьк : </w:t>
      </w:r>
      <w:proofErr w:type="spellStart"/>
      <w:r w:rsidRPr="009C56DA">
        <w:rPr>
          <w:rFonts w:ascii="Times New Roman" w:hAnsi="Times New Roman"/>
          <w:sz w:val="28"/>
          <w:szCs w:val="28"/>
          <w:lang w:val="uk-UA"/>
        </w:rPr>
        <w:t>Волин</w:t>
      </w:r>
      <w:proofErr w:type="spellEnd"/>
      <w:r w:rsidRPr="009C56DA">
        <w:rPr>
          <w:rFonts w:ascii="Times New Roman" w:hAnsi="Times New Roman"/>
          <w:sz w:val="28"/>
          <w:szCs w:val="28"/>
          <w:lang w:val="uk-UA"/>
        </w:rPr>
        <w:t>. нац. ун-т ім. Лесі Українки, 2010. 448 с.</w:t>
      </w:r>
    </w:p>
    <w:p w:rsidR="00537712" w:rsidRPr="009C56DA" w:rsidRDefault="00537712" w:rsidP="009C56DA">
      <w:pPr>
        <w:tabs>
          <w:tab w:val="left" w:pos="993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7712" w:rsidRPr="009C56DA" w:rsidRDefault="00537712" w:rsidP="00537712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9C56DA">
        <w:rPr>
          <w:rFonts w:ascii="Times New Roman" w:hAnsi="Times New Roman"/>
          <w:b/>
          <w:sz w:val="28"/>
          <w:szCs w:val="28"/>
          <w:lang w:val="uk-UA"/>
        </w:rPr>
        <w:t>Г. Інформаційні ресурси</w:t>
      </w:r>
    </w:p>
    <w:p w:rsidR="00537712" w:rsidRPr="009C56DA" w:rsidRDefault="00537712" w:rsidP="00537712">
      <w:pPr>
        <w:numPr>
          <w:ilvl w:val="0"/>
          <w:numId w:val="11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>Офіційний сайт Верховної Ради України - http://zakon.rada.gov.ua</w:t>
      </w:r>
    </w:p>
    <w:p w:rsidR="00537712" w:rsidRPr="009C56DA" w:rsidRDefault="00537712" w:rsidP="00537712">
      <w:pPr>
        <w:numPr>
          <w:ilvl w:val="0"/>
          <w:numId w:val="11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lastRenderedPageBreak/>
        <w:t>Вся база «Законодавство України» 184924 документи. Інтернет-ресурс. – http://zakon1.rada.gov.ua/laws/main/a</w:t>
      </w:r>
    </w:p>
    <w:p w:rsidR="00537712" w:rsidRPr="009C56DA" w:rsidRDefault="00537712" w:rsidP="00537712">
      <w:pPr>
        <w:numPr>
          <w:ilvl w:val="0"/>
          <w:numId w:val="11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>Єдиний державний реєстр судових рішень – http://www.reyestr.court.gov.ua</w:t>
      </w:r>
    </w:p>
    <w:p w:rsidR="00537712" w:rsidRPr="009C56DA" w:rsidRDefault="00537712" w:rsidP="00537712">
      <w:pPr>
        <w:numPr>
          <w:ilvl w:val="0"/>
          <w:numId w:val="11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>Кабінет Міністрів України – http://www.kmu.gov.ua</w:t>
      </w:r>
    </w:p>
    <w:p w:rsidR="00537712" w:rsidRPr="009C56DA" w:rsidRDefault="00537712" w:rsidP="00537712">
      <w:pPr>
        <w:numPr>
          <w:ilvl w:val="0"/>
          <w:numId w:val="11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 xml:space="preserve">Міністерство юстиції України – </w:t>
      </w:r>
      <w:hyperlink r:id="rId27" w:history="1">
        <w:r w:rsidRPr="009C56DA">
          <w:rPr>
            <w:rFonts w:ascii="Times New Roman" w:hAnsi="Times New Roman"/>
            <w:sz w:val="28"/>
            <w:szCs w:val="28"/>
            <w:lang w:val="uk-UA"/>
          </w:rPr>
          <w:t>http://www.minjust.gov.ua</w:t>
        </w:r>
      </w:hyperlink>
    </w:p>
    <w:p w:rsidR="00537712" w:rsidRPr="009C56DA" w:rsidRDefault="00537712" w:rsidP="00537712">
      <w:pPr>
        <w:numPr>
          <w:ilvl w:val="0"/>
          <w:numId w:val="11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56DA">
        <w:rPr>
          <w:rFonts w:ascii="Times New Roman" w:hAnsi="Times New Roman"/>
          <w:sz w:val="28"/>
          <w:szCs w:val="28"/>
          <w:lang w:val="uk-UA"/>
        </w:rPr>
        <w:t>Національна бібліотека України ім. В.І. Вернадського – http://www.nbuv.gov.ua/</w:t>
      </w:r>
    </w:p>
    <w:sectPr w:rsidR="00537712" w:rsidRPr="009C56DA">
      <w:pgSz w:w="11906" w:h="16838"/>
      <w:pgMar w:top="1134" w:right="1134" w:bottom="1134" w:left="1134" w:header="708" w:footer="708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MS Gothic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3410" w:hanging="432"/>
      </w:pPr>
      <w:rPr>
        <w:rFonts w:cs="Times New Roman"/>
      </w:rPr>
    </w:lvl>
    <w:lvl w:ilvl="1">
      <w:start w:val="1"/>
      <w:numFmt w:val="decimal"/>
      <w:pStyle w:val="2"/>
      <w:lvlText w:val="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1422" w:hanging="855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"/>
      <w:lvlJc w:val="left"/>
      <w:pPr>
        <w:tabs>
          <w:tab w:val="num" w:pos="0"/>
        </w:tabs>
        <w:ind w:left="3410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8177912"/>
    <w:multiLevelType w:val="hybridMultilevel"/>
    <w:tmpl w:val="43326AA6"/>
    <w:lvl w:ilvl="0" w:tplc="00169308">
      <w:start w:val="1"/>
      <w:numFmt w:val="decimal"/>
      <w:lvlText w:val="%1."/>
      <w:legacy w:legacy="1" w:legacySpace="0" w:legacyIndent="283"/>
      <w:lvlJc w:val="left"/>
      <w:pPr>
        <w:ind w:left="2977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2557C"/>
    <w:multiLevelType w:val="hybridMultilevel"/>
    <w:tmpl w:val="258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B43D3"/>
    <w:multiLevelType w:val="hybridMultilevel"/>
    <w:tmpl w:val="43326AA6"/>
    <w:lvl w:ilvl="0" w:tplc="00169308">
      <w:start w:val="1"/>
      <w:numFmt w:val="decimal"/>
      <w:lvlText w:val="%1."/>
      <w:legacy w:legacy="1" w:legacySpace="0" w:legacyIndent="283"/>
      <w:lvlJc w:val="left"/>
      <w:pPr>
        <w:ind w:left="2977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A598D"/>
    <w:multiLevelType w:val="hybridMultilevel"/>
    <w:tmpl w:val="771ABBD8"/>
    <w:lvl w:ilvl="0" w:tplc="3B5CAFE4">
      <w:start w:val="12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7161F2"/>
    <w:multiLevelType w:val="hybridMultilevel"/>
    <w:tmpl w:val="BC569DCA"/>
    <w:lvl w:ilvl="0" w:tplc="3EB64F12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BE563D"/>
    <w:multiLevelType w:val="multilevel"/>
    <w:tmpl w:val="7F72C7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 w15:restartNumberingAfterBreak="0">
    <w:nsid w:val="390D5961"/>
    <w:multiLevelType w:val="hybridMultilevel"/>
    <w:tmpl w:val="98B6215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9676D1"/>
    <w:multiLevelType w:val="hybridMultilevel"/>
    <w:tmpl w:val="1F5EA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709E8"/>
    <w:multiLevelType w:val="hybridMultilevel"/>
    <w:tmpl w:val="98B6215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D901ED"/>
    <w:multiLevelType w:val="hybridMultilevel"/>
    <w:tmpl w:val="C0D42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E76FA"/>
    <w:multiLevelType w:val="hybridMultilevel"/>
    <w:tmpl w:val="258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FE33F8"/>
    <w:multiLevelType w:val="hybridMultilevel"/>
    <w:tmpl w:val="6AAA8190"/>
    <w:lvl w:ilvl="0" w:tplc="3B5CAFE4">
      <w:start w:val="1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C9F"/>
    <w:rsid w:val="00055F28"/>
    <w:rsid w:val="0022020F"/>
    <w:rsid w:val="00400E0E"/>
    <w:rsid w:val="0047334E"/>
    <w:rsid w:val="004B316A"/>
    <w:rsid w:val="00537712"/>
    <w:rsid w:val="0054214B"/>
    <w:rsid w:val="005F6173"/>
    <w:rsid w:val="00653048"/>
    <w:rsid w:val="00683BDB"/>
    <w:rsid w:val="006E38FF"/>
    <w:rsid w:val="006F4137"/>
    <w:rsid w:val="00774E77"/>
    <w:rsid w:val="007A6A7A"/>
    <w:rsid w:val="008363BF"/>
    <w:rsid w:val="009C56DA"/>
    <w:rsid w:val="00B37C9F"/>
    <w:rsid w:val="00EB0B15"/>
    <w:rsid w:val="00EF4A03"/>
    <w:rsid w:val="00FC2BA2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EB06D"/>
  <w15:docId w15:val="{78459DD3-0687-4EF4-9BC5-A31F099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6DA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en-US"/>
    </w:rPr>
  </w:style>
  <w:style w:type="paragraph" w:styleId="1">
    <w:name w:val="heading 1"/>
    <w:basedOn w:val="a"/>
    <w:qFormat/>
    <w:pPr>
      <w:keepNext/>
      <w:numPr>
        <w:numId w:val="1"/>
      </w:numPr>
      <w:spacing w:before="240" w:after="240" w:line="100" w:lineRule="atLeast"/>
      <w:jc w:val="center"/>
      <w:outlineLvl w:val="0"/>
    </w:pPr>
    <w:rPr>
      <w:rFonts w:ascii="Times New Roman" w:eastAsia="Times New Roman" w:hAnsi="Times New Roman"/>
      <w:b/>
      <w:sz w:val="28"/>
      <w:szCs w:val="32"/>
      <w:lang w:val="uk-UA"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qFormat/>
    <w:pPr>
      <w:keepNext/>
      <w:numPr>
        <w:ilvl w:val="6"/>
        <w:numId w:val="1"/>
      </w:numPr>
      <w:spacing w:after="0" w:line="100" w:lineRule="atLeast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8">
    <w:name w:val="heading 8"/>
    <w:basedOn w:val="a"/>
    <w:qFormat/>
    <w:pPr>
      <w:keepNext/>
      <w:numPr>
        <w:ilvl w:val="7"/>
        <w:numId w:val="1"/>
      </w:numPr>
      <w:spacing w:after="0" w:line="100" w:lineRule="atLeast"/>
      <w:jc w:val="center"/>
      <w:outlineLvl w:val="7"/>
    </w:pPr>
    <w:rPr>
      <w:rFonts w:ascii="Times New Roman" w:eastAsia="Times New Roman" w:hAnsi="Times New Roman"/>
      <w:caps/>
      <w:sz w:val="40"/>
      <w:szCs w:val="24"/>
      <w:lang w:val="uk-UA" w:eastAsia="ru-RU"/>
    </w:rPr>
  </w:style>
  <w:style w:type="paragraph" w:styleId="9">
    <w:name w:val="heading 9"/>
    <w:basedOn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Times New Roman" w:hAnsi="Times New Roman" w:cs="Times New Roman"/>
      <w:b/>
      <w:sz w:val="32"/>
      <w:szCs w:val="32"/>
      <w:lang w:val="uk-UA" w:eastAsia="ru-RU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8Char">
    <w:name w:val="Heading 8 Char"/>
    <w:rPr>
      <w:rFonts w:ascii="Times New Roman" w:hAnsi="Times New Roman" w:cs="Times New Roman"/>
      <w:caps/>
      <w:sz w:val="24"/>
      <w:szCs w:val="24"/>
      <w:lang w:val="uk-UA" w:eastAsia="ru-RU"/>
    </w:rPr>
  </w:style>
  <w:style w:type="character" w:customStyle="1" w:styleId="Heading9Char">
    <w:name w:val="Heading 9 Char"/>
    <w:rPr>
      <w:rFonts w:ascii="Arial" w:hAnsi="Arial" w:cs="Arial"/>
      <w:lang w:eastAsia="ru-RU"/>
    </w:rPr>
  </w:style>
  <w:style w:type="character" w:customStyle="1" w:styleId="fontstyle01">
    <w:name w:val="fontstyle01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character" w:customStyle="1" w:styleId="PlainTextChar">
    <w:name w:val="Plain Text Char"/>
    <w:rPr>
      <w:rFonts w:ascii="Courier New" w:hAnsi="Courier New" w:cs="Times New Roman"/>
      <w:sz w:val="20"/>
      <w:szCs w:val="20"/>
      <w:lang w:val="uk-UA" w:eastAsia="ru-RU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eastAsia="ru-RU"/>
    </w:rPr>
  </w:style>
  <w:style w:type="character" w:customStyle="1" w:styleId="40">
    <w:name w:val="Основной текст (4)_"/>
    <w:rPr>
      <w:rFonts w:ascii="Arial" w:hAnsi="Arial"/>
      <w:b/>
      <w:sz w:val="21"/>
      <w:shd w:val="clear" w:color="auto" w:fill="FFFFFF"/>
    </w:rPr>
  </w:style>
  <w:style w:type="character" w:customStyle="1" w:styleId="rvts9">
    <w:name w:val="rvts9"/>
    <w:rPr>
      <w:rFonts w:cs="Times New Roman"/>
    </w:rPr>
  </w:style>
  <w:style w:type="character" w:customStyle="1" w:styleId="rvts23">
    <w:name w:val="rvts23"/>
    <w:rPr>
      <w:rFonts w:cs="Times New Roman"/>
    </w:rPr>
  </w:style>
  <w:style w:type="character" w:customStyle="1" w:styleId="rvts44">
    <w:name w:val="rvts44"/>
    <w:rPr>
      <w:rFonts w:cs="Times New Roman"/>
    </w:rPr>
  </w:style>
  <w:style w:type="character" w:customStyle="1" w:styleId="dat">
    <w:name w:val="dat"/>
    <w:rPr>
      <w:rFonts w:cs="Times New Roman"/>
    </w:rPr>
  </w:style>
  <w:style w:type="character" w:styleId="a4">
    <w:name w:val="Strong"/>
    <w:qFormat/>
    <w:rPr>
      <w:rFonts w:cs="Times New Roman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11">
    <w:name w:val="Просмотренная гиперссылка1"/>
    <w:rPr>
      <w:rFonts w:cs="Times New Roman"/>
      <w:color w:val="800080"/>
      <w:u w:val="single"/>
    </w:rPr>
  </w:style>
  <w:style w:type="character" w:styleId="a5">
    <w:name w:val="Emphasis"/>
    <w:qFormat/>
    <w:rPr>
      <w:rFonts w:cs="Times New Roman"/>
      <w:i/>
      <w:iCs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"/>
    <w:pPr>
      <w:spacing w:after="0" w:line="100" w:lineRule="atLeast"/>
    </w:pPr>
    <w:rPr>
      <w:rFonts w:ascii="Courier New" w:eastAsia="Times New Roman" w:hAnsi="Courier New"/>
      <w:sz w:val="20"/>
      <w:szCs w:val="20"/>
      <w:lang w:val="uk-UA" w:eastAsia="ru-RU"/>
    </w:rPr>
  </w:style>
  <w:style w:type="paragraph" w:customStyle="1" w:styleId="17">
    <w:name w:val="Абзац списка1"/>
    <w:basedOn w:val="a"/>
    <w:pPr>
      <w:spacing w:after="0" w:line="100" w:lineRule="atLeast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Body1">
    <w:name w:val="Body 1"/>
    <w:pPr>
      <w:suppressAutoHyphens/>
    </w:pPr>
    <w:rPr>
      <w:rFonts w:eastAsia="Arial Unicode MS"/>
      <w:color w:val="000000"/>
      <w:kern w:val="1"/>
      <w:sz w:val="24"/>
      <w:lang w:val="cs-CZ" w:eastAsia="en-US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лит"/>
    <w:pPr>
      <w:tabs>
        <w:tab w:val="left" w:pos="56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</w:tabs>
      <w:suppressAutoHyphens/>
      <w:spacing w:before="57" w:after="57" w:line="234" w:lineRule="atLeast"/>
      <w:jc w:val="center"/>
    </w:pPr>
    <w:rPr>
      <w:b/>
      <w:bCs/>
      <w:kern w:val="1"/>
      <w:lang w:val="ru-RU" w:eastAsia="ru-RU"/>
    </w:rPr>
  </w:style>
  <w:style w:type="paragraph" w:customStyle="1" w:styleId="aa">
    <w:name w:val="литер"/>
    <w:pPr>
      <w:tabs>
        <w:tab w:val="left" w:pos="56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</w:tabs>
      <w:suppressAutoHyphens/>
      <w:spacing w:line="220" w:lineRule="atLeast"/>
      <w:ind w:firstLine="283"/>
      <w:jc w:val="both"/>
    </w:pPr>
    <w:rPr>
      <w:kern w:val="1"/>
      <w:sz w:val="19"/>
      <w:szCs w:val="19"/>
      <w:lang w:val="ru-RU" w:eastAsia="ru-RU"/>
    </w:rPr>
  </w:style>
  <w:style w:type="paragraph" w:customStyle="1" w:styleId="41">
    <w:name w:val="Основной текст (4)"/>
    <w:basedOn w:val="a"/>
    <w:pPr>
      <w:widowControl w:val="0"/>
      <w:shd w:val="clear" w:color="auto" w:fill="FFFFFF"/>
      <w:spacing w:before="1680" w:after="0" w:line="211" w:lineRule="exact"/>
    </w:pPr>
    <w:rPr>
      <w:rFonts w:ascii="Arial" w:hAnsi="Arial"/>
      <w:b/>
      <w:bCs/>
      <w:sz w:val="21"/>
      <w:szCs w:val="21"/>
      <w:lang w:eastAsia="ru-RU"/>
    </w:rPr>
  </w:style>
  <w:style w:type="paragraph" w:customStyle="1" w:styleId="18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0" w:line="100" w:lineRule="atLeast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customStyle="1" w:styleId="19">
    <w:name w:val="Текст примечания1"/>
    <w:basedOn w:val="a"/>
    <w:pPr>
      <w:spacing w:line="100" w:lineRule="atLeast"/>
    </w:pPr>
    <w:rPr>
      <w:sz w:val="20"/>
      <w:szCs w:val="20"/>
    </w:rPr>
  </w:style>
  <w:style w:type="paragraph" w:customStyle="1" w:styleId="1a">
    <w:name w:val="Тема примечания1"/>
    <w:basedOn w:val="19"/>
    <w:rPr>
      <w:b/>
      <w:bCs/>
    </w:rPr>
  </w:style>
  <w:style w:type="character" w:customStyle="1" w:styleId="ac">
    <w:name w:val="Основной текст_"/>
    <w:basedOn w:val="a0"/>
    <w:link w:val="1b"/>
    <w:rsid w:val="006F4137"/>
  </w:style>
  <w:style w:type="paragraph" w:customStyle="1" w:styleId="1b">
    <w:name w:val="Основной текст1"/>
    <w:basedOn w:val="a"/>
    <w:link w:val="ac"/>
    <w:rsid w:val="006F4137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uk-UA" w:eastAsia="uk-UA"/>
    </w:rPr>
  </w:style>
  <w:style w:type="character" w:customStyle="1" w:styleId="ad">
    <w:name w:val="Другое_"/>
    <w:basedOn w:val="a0"/>
    <w:link w:val="ae"/>
    <w:rsid w:val="004B316A"/>
  </w:style>
  <w:style w:type="paragraph" w:customStyle="1" w:styleId="ae">
    <w:name w:val="Другое"/>
    <w:basedOn w:val="a"/>
    <w:link w:val="ad"/>
    <w:rsid w:val="004B316A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uk-UA" w:eastAsia="uk-UA"/>
    </w:rPr>
  </w:style>
  <w:style w:type="character" w:customStyle="1" w:styleId="FontStyle66">
    <w:name w:val="Font Style66"/>
    <w:rsid w:val="00FC2BA2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.cn.ua/media/files/pdf/nzop/p-dis-n.pdf" TargetMode="External"/><Relationship Id="rId13" Type="http://schemas.openxmlformats.org/officeDocument/2006/relationships/hyperlink" Target="https://zakon.rada.gov.ua/laws/show/995_084" TargetMode="External"/><Relationship Id="rId18" Type="http://schemas.openxmlformats.org/officeDocument/2006/relationships/hyperlink" Target="http://pravo.org.ua/files/Criminal%20justice/PS_05__4_2_001.pdf" TargetMode="External"/><Relationship Id="rId26" Type="http://schemas.openxmlformats.org/officeDocument/2006/relationships/hyperlink" Target="https://www.coe.int/ru/web/portal/-/revised-european-prison-rules-new-guidance-to-prison-services-on-humane-treatment-of-inm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rprison.org.ua/index.php?id=1367145079" TargetMode="External"/><Relationship Id="rId7" Type="http://schemas.openxmlformats.org/officeDocument/2006/relationships/hyperlink" Target="https://www.stu.cn.ua/media/files/pdf/nzop/p-org-osp.pdf" TargetMode="External"/><Relationship Id="rId12" Type="http://schemas.openxmlformats.org/officeDocument/2006/relationships/hyperlink" Target="https://www.president.gov.ua/documents/constitution" TargetMode="External"/><Relationship Id="rId17" Type="http://schemas.openxmlformats.org/officeDocument/2006/relationships/hyperlink" Target="https://search.coe.int/cm/Pages/result_details.aspx?ObjectId=09000016809ee581" TargetMode="External"/><Relationship Id="rId25" Type="http://schemas.openxmlformats.org/officeDocument/2006/relationships/hyperlink" Target="http://www.coe.int/t/e/legal_affairs/legal_co%2Doperation/prisons_and_alternatives/conferences/1Conf(2005)Istanbul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odc.org/documents/justice-and-prison-reform/SMRbrochures/UN_Standard_Minimum_Rules_for_the_Treatment_of_Prisoners_the_Nelson_Mandela_Rules-R.pdf" TargetMode="External"/><Relationship Id="rId20" Type="http://schemas.openxmlformats.org/officeDocument/2006/relationships/hyperlink" Target="http://www.kvs.gov.ua/peniten/control/main/uk/publish/article/63779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n.stu.cn.ua/course/edit.php?category=223&amp;amp;returnto=category" TargetMode="External"/><Relationship Id="rId11" Type="http://schemas.openxmlformats.org/officeDocument/2006/relationships/hyperlink" Target="https://www.stu.cn.ua/media/files/pdf/nzop/p-akad-mob.pdf" TargetMode="External"/><Relationship Id="rId24" Type="http://schemas.openxmlformats.org/officeDocument/2006/relationships/hyperlink" Target="http://zakon.rada.gov.ua/laws/" TargetMode="External"/><Relationship Id="rId5" Type="http://schemas.openxmlformats.org/officeDocument/2006/relationships/hyperlink" Target="mailto:igor_ivankov@ukr.net" TargetMode="External"/><Relationship Id="rId15" Type="http://schemas.openxmlformats.org/officeDocument/2006/relationships/hyperlink" Target="https://zakon.rada.gov.ua/laws/show/994_032" TargetMode="External"/><Relationship Id="rId23" Type="http://schemas.openxmlformats.org/officeDocument/2006/relationships/hyperlink" Target="http://zakon.rada/gov.ua/laws/show/2341-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tu.cn.ua/media/files/pdf/nzop/p-yakist-kodex.pdf" TargetMode="External"/><Relationship Id="rId19" Type="http://schemas.openxmlformats.org/officeDocument/2006/relationships/hyperlink" Target="http://www.hri.ru/docs/?content=doc&amp;id=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.cn.ua/media/files/pdf/nzop/p-ppocin.pdf" TargetMode="External"/><Relationship Id="rId14" Type="http://schemas.openxmlformats.org/officeDocument/2006/relationships/hyperlink" Target="https://zakon.rada.gov.ua/laws/show/995_085" TargetMode="External"/><Relationship Id="rId22" Type="http://schemas.openxmlformats.org/officeDocument/2006/relationships/hyperlink" Target="http://zakon.rada/gov.ua/" TargetMode="External"/><Relationship Id="rId27" Type="http://schemas.openxmlformats.org/officeDocument/2006/relationships/hyperlink" Target="http://www.minju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публічного та приватного права</vt:lpstr>
    </vt:vector>
  </TitlesOfParts>
  <Company/>
  <LinksUpToDate>false</LinksUpToDate>
  <CharactersWithSpaces>31827</CharactersWithSpaces>
  <SharedDoc>false</SharedDoc>
  <HLinks>
    <vt:vector size="36" baseType="variant">
      <vt:variant>
        <vt:i4>2031646</vt:i4>
      </vt:variant>
      <vt:variant>
        <vt:i4>15</vt:i4>
      </vt:variant>
      <vt:variant>
        <vt:i4>0</vt:i4>
      </vt:variant>
      <vt:variant>
        <vt:i4>5</vt:i4>
      </vt:variant>
      <vt:variant>
        <vt:lpwstr>https://www.stu.cn.ua/media/files/pdf/nzop/p-akad-mob.pdf</vt:lpwstr>
      </vt:variant>
      <vt:variant>
        <vt:lpwstr/>
      </vt:variant>
      <vt:variant>
        <vt:i4>1769493</vt:i4>
      </vt:variant>
      <vt:variant>
        <vt:i4>12</vt:i4>
      </vt:variant>
      <vt:variant>
        <vt:i4>0</vt:i4>
      </vt:variant>
      <vt:variant>
        <vt:i4>5</vt:i4>
      </vt:variant>
      <vt:variant>
        <vt:lpwstr>https://www.stu.cn.ua/media/files/pdf/nzop/p-yakist-kodex.pdf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https://www.stu.cn.ua/media/files/pdf/nzop/p-ppocin.pdf</vt:lpwstr>
      </vt:variant>
      <vt:variant>
        <vt:lpwstr/>
      </vt:variant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https://www.stu.cn.ua/media/files/pdf/nzop/p-dis-n.pdf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https://www.stu.cn.ua/media/files/pdf/nzop/p-org-osp.pdf</vt:lpwstr>
      </vt:variant>
      <vt:variant>
        <vt:lpwstr/>
      </vt:variant>
      <vt:variant>
        <vt:i4>1048602</vt:i4>
      </vt:variant>
      <vt:variant>
        <vt:i4>0</vt:i4>
      </vt:variant>
      <vt:variant>
        <vt:i4>0</vt:i4>
      </vt:variant>
      <vt:variant>
        <vt:i4>5</vt:i4>
      </vt:variant>
      <vt:variant>
        <vt:lpwstr>https://mail.ukr.net/desktop</vt:lpwstr>
      </vt:variant>
      <vt:variant>
        <vt:lpwstr>sendmsg/f=to=Eh8X9WVUfKghvgCDE4Ow9W8N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публічного та приватного права</dc:title>
  <dc:subject/>
  <dc:creator>Ирина</dc:creator>
  <cp:keywords/>
  <cp:lastModifiedBy>Наталія Коломієць</cp:lastModifiedBy>
  <cp:revision>7</cp:revision>
  <cp:lastPrinted>2020-02-10T10:48:00Z</cp:lastPrinted>
  <dcterms:created xsi:type="dcterms:W3CDTF">2023-03-17T15:24:00Z</dcterms:created>
  <dcterms:modified xsi:type="dcterms:W3CDTF">2023-11-06T09:05:00Z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